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59AF3604" w:rsidR="007653F6" w:rsidRDefault="007653F6" w:rsidP="007653F6">
      <w:pPr>
        <w:pStyle w:val="CRCoverPage"/>
        <w:outlineLvl w:val="0"/>
        <w:rPr>
          <w:b/>
          <w:noProof/>
          <w:sz w:val="24"/>
        </w:rPr>
      </w:pPr>
      <w:r>
        <w:rPr>
          <w:b/>
          <w:noProof/>
          <w:sz w:val="24"/>
        </w:rPr>
        <w:t xml:space="preserve">3GPP TSG-RAN WG4 Meeting # </w:t>
      </w:r>
      <w:r w:rsidR="00C05553">
        <w:rPr>
          <w:b/>
          <w:noProof/>
          <w:sz w:val="24"/>
        </w:rPr>
        <w:t>100</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FC47BC">
        <w:rPr>
          <w:b/>
          <w:noProof/>
          <w:sz w:val="24"/>
        </w:rPr>
        <w:tab/>
      </w:r>
      <w:r w:rsidR="00A423DA" w:rsidRPr="00A423DA">
        <w:rPr>
          <w:b/>
          <w:noProof/>
          <w:sz w:val="24"/>
        </w:rPr>
        <w:t>R4-2114324</w:t>
      </w:r>
    </w:p>
    <w:p w14:paraId="501C60F4" w14:textId="076067F3" w:rsidR="00581192" w:rsidRPr="006B30DF" w:rsidRDefault="007653F6" w:rsidP="007653F6">
      <w:pPr>
        <w:pStyle w:val="CRCoverPage"/>
        <w:outlineLvl w:val="0"/>
        <w:rPr>
          <w:b/>
          <w:noProof/>
          <w:sz w:val="24"/>
          <w:lang w:val="en-US"/>
        </w:rPr>
      </w:pPr>
      <w:r>
        <w:rPr>
          <w:b/>
          <w:noProof/>
          <w:sz w:val="24"/>
        </w:rPr>
        <w:t>Electronic Meeting, 1</w:t>
      </w:r>
      <w:r w:rsidR="00C05553">
        <w:rPr>
          <w:b/>
          <w:noProof/>
          <w:sz w:val="24"/>
        </w:rPr>
        <w:t>6</w:t>
      </w:r>
      <w:r>
        <w:rPr>
          <w:b/>
          <w:noProof/>
          <w:sz w:val="24"/>
          <w:vertAlign w:val="superscript"/>
        </w:rPr>
        <w:t>th</w:t>
      </w:r>
      <w:r>
        <w:rPr>
          <w:b/>
          <w:noProof/>
          <w:sz w:val="24"/>
        </w:rPr>
        <w:t xml:space="preserve"> – </w:t>
      </w:r>
      <w:r w:rsidR="00CD58FD">
        <w:rPr>
          <w:b/>
          <w:noProof/>
          <w:sz w:val="24"/>
        </w:rPr>
        <w:t>27</w:t>
      </w:r>
      <w:r w:rsidR="00CD58FD">
        <w:rPr>
          <w:b/>
          <w:noProof/>
          <w:sz w:val="24"/>
          <w:vertAlign w:val="superscript"/>
        </w:rPr>
        <w:t>th</w:t>
      </w:r>
      <w:r w:rsidR="00CD58FD">
        <w:rPr>
          <w:b/>
          <w:noProof/>
          <w:sz w:val="24"/>
        </w:rPr>
        <w:t xml:space="preserve"> </w:t>
      </w:r>
      <w:r w:rsidR="00C05553">
        <w:rPr>
          <w:b/>
          <w:noProof/>
          <w:sz w:val="24"/>
        </w:rPr>
        <w:t>August</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532AA4C0"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04683D">
        <w:rPr>
          <w:rFonts w:cs="Arial"/>
          <w:sz w:val="22"/>
          <w:szCs w:val="22"/>
          <w:lang w:val="en-US" w:eastAsia="zh-CN"/>
        </w:rPr>
        <w:t xml:space="preserve">IAB with </w:t>
      </w:r>
      <w:r w:rsidR="004461B6">
        <w:rPr>
          <w:rFonts w:cs="Arial"/>
          <w:sz w:val="22"/>
          <w:szCs w:val="22"/>
          <w:lang w:val="en-US" w:eastAsia="zh-CN"/>
        </w:rPr>
        <w:t>high PSD single RB testing</w:t>
      </w:r>
    </w:p>
    <w:p w14:paraId="2D72A4F2" w14:textId="548EBAE5"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3C0B66">
        <w:rPr>
          <w:rFonts w:cs="Arial"/>
          <w:sz w:val="22"/>
          <w:szCs w:val="22"/>
          <w:lang w:val="en-US"/>
        </w:rPr>
        <w:t>6.1.2.2.2.1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5BEEBE52" w14:textId="6FD68AA3" w:rsidR="00E20FCF" w:rsidRDefault="00171CB0" w:rsidP="00E20FCF">
      <w:pPr>
        <w:spacing w:line="259" w:lineRule="auto"/>
        <w:rPr>
          <w:color w:val="000000"/>
          <w:lang w:eastAsia="ja-JP"/>
        </w:rPr>
      </w:pPr>
      <w:r>
        <w:rPr>
          <w:color w:val="000000"/>
          <w:lang w:eastAsia="ja-JP"/>
        </w:rPr>
        <w:t xml:space="preserve">In </w:t>
      </w:r>
      <w:proofErr w:type="gramStart"/>
      <w:r>
        <w:rPr>
          <w:color w:val="000000"/>
          <w:lang w:eastAsia="ja-JP"/>
        </w:rPr>
        <w:t>WF[</w:t>
      </w:r>
      <w:proofErr w:type="gramEnd"/>
      <w:r>
        <w:rPr>
          <w:color w:val="000000"/>
          <w:lang w:eastAsia="ja-JP"/>
        </w:rPr>
        <w:t xml:space="preserve">1], the </w:t>
      </w:r>
      <w:r w:rsidR="004A1B3E">
        <w:rPr>
          <w:color w:val="000000"/>
          <w:lang w:eastAsia="ja-JP"/>
        </w:rPr>
        <w:t>below is stated:</w:t>
      </w:r>
    </w:p>
    <w:p w14:paraId="38CC2D47" w14:textId="77777777" w:rsidR="004A1B3E" w:rsidRPr="004A1B3E" w:rsidRDefault="004A1B3E" w:rsidP="00016463">
      <w:pPr>
        <w:spacing w:line="259" w:lineRule="auto"/>
        <w:ind w:left="360"/>
        <w:rPr>
          <w:color w:val="000000"/>
          <w:lang w:val="en-US" w:eastAsia="ja-JP"/>
        </w:rPr>
      </w:pPr>
      <w:r w:rsidRPr="004A1B3E">
        <w:rPr>
          <w:color w:val="000000"/>
          <w:lang w:eastAsia="ja-JP"/>
        </w:rPr>
        <w:t>Companies are encouraged to discuss the issue of single RB high PSD TM for unwanted emission in future RAN4 meetings in maintenance phase with following candidate options for consideration:</w:t>
      </w:r>
    </w:p>
    <w:p w14:paraId="0BF1BF1C" w14:textId="77777777" w:rsidR="004A1B3E" w:rsidRPr="004A1B3E" w:rsidRDefault="004A1B3E" w:rsidP="004A1B3E">
      <w:pPr>
        <w:numPr>
          <w:ilvl w:val="0"/>
          <w:numId w:val="46"/>
        </w:numPr>
        <w:spacing w:line="259" w:lineRule="auto"/>
        <w:rPr>
          <w:color w:val="000000"/>
          <w:lang w:val="en-US" w:eastAsia="ja-JP"/>
        </w:rPr>
      </w:pPr>
      <w:r w:rsidRPr="004A1B3E">
        <w:rPr>
          <w:color w:val="000000"/>
          <w:lang w:eastAsia="ja-JP"/>
        </w:rPr>
        <w:t>Option 2: Only use test model with full RBs allocation at band edge for IAB transmitter unwanted emission test, with a clear statement in the specification that single RB allocation with high PSD should not be scheduled for IAB-MT.</w:t>
      </w:r>
    </w:p>
    <w:p w14:paraId="543D3F21" w14:textId="77777777" w:rsidR="004A1B3E" w:rsidRPr="004A1B3E" w:rsidRDefault="004A1B3E" w:rsidP="004A1B3E">
      <w:pPr>
        <w:numPr>
          <w:ilvl w:val="0"/>
          <w:numId w:val="46"/>
        </w:numPr>
        <w:spacing w:line="259" w:lineRule="auto"/>
        <w:rPr>
          <w:color w:val="000000"/>
          <w:lang w:val="en-US" w:eastAsia="ja-JP"/>
        </w:rPr>
      </w:pPr>
      <w:r w:rsidRPr="004A1B3E">
        <w:rPr>
          <w:color w:val="000000"/>
          <w:lang w:eastAsia="ja-JP"/>
        </w:rPr>
        <w:t>Option 4: Also use test model with single RB allocation with a higher PSD declared by the vendor to be supported for single RB transmission at band edge at least for IAB transmitter operating band unwanted emission test, where the single RB allocation with high PSD would be more likely to impact.</w:t>
      </w:r>
    </w:p>
    <w:p w14:paraId="7D639FE6" w14:textId="186147FA" w:rsidR="00DC3EEB" w:rsidRPr="00DC3EEB" w:rsidRDefault="0004683D" w:rsidP="00EC6F8B">
      <w:r>
        <w:rPr>
          <w:lang w:val="en-US" w:eastAsia="zh-CN"/>
        </w:rPr>
        <w:t xml:space="preserve"> </w:t>
      </w:r>
      <w:r w:rsidR="00DC3EEB">
        <w:t xml:space="preserve">In this paper, we present </w:t>
      </w:r>
      <w:r w:rsidR="0006371E">
        <w:t xml:space="preserve">our </w:t>
      </w:r>
      <w:r w:rsidR="00B9290C">
        <w:t>view</w:t>
      </w:r>
      <w:r w:rsidR="0006371E">
        <w:t xml:space="preserve"> </w:t>
      </w:r>
      <w:r w:rsidR="00B41D68">
        <w:t xml:space="preserve">related to </w:t>
      </w:r>
      <w:r w:rsidR="00016463">
        <w:t xml:space="preserve">single PRB high PSD </w:t>
      </w:r>
      <w:r w:rsidR="00B41D68">
        <w:t>testing</w:t>
      </w:r>
      <w:r w:rsidR="00877D85">
        <w:t>.</w:t>
      </w:r>
    </w:p>
    <w:p w14:paraId="71FA39DB" w14:textId="77777777" w:rsidR="00304615" w:rsidRDefault="00DC670C" w:rsidP="00304615">
      <w:pPr>
        <w:pStyle w:val="Heading1"/>
        <w:rPr>
          <w:lang w:val="en-US"/>
        </w:rPr>
      </w:pPr>
      <w:r>
        <w:rPr>
          <w:lang w:val="en-US"/>
        </w:rPr>
        <w:t>Discussion</w:t>
      </w:r>
    </w:p>
    <w:p w14:paraId="40375C48" w14:textId="18CF9E0F" w:rsidR="004F0AE9" w:rsidRDefault="00543FCF" w:rsidP="00534D65">
      <w:r>
        <w:t xml:space="preserve">The high PSD case mentioned </w:t>
      </w:r>
      <w:proofErr w:type="gramStart"/>
      <w:r>
        <w:t>in[</w:t>
      </w:r>
      <w:proofErr w:type="gramEnd"/>
      <w:r>
        <w:t xml:space="preserve">1] is the case where all </w:t>
      </w:r>
      <w:r w:rsidR="00BC2E30">
        <w:t xml:space="preserve">declared rated </w:t>
      </w:r>
      <w:r>
        <w:t xml:space="preserve">IAB-MT </w:t>
      </w:r>
      <w:r w:rsidR="00BC2E30">
        <w:t xml:space="preserve">carrier </w:t>
      </w:r>
      <w:r>
        <w:t xml:space="preserve">power is allocated </w:t>
      </w:r>
      <w:r w:rsidR="00BC2E30">
        <w:t>to</w:t>
      </w:r>
      <w:r>
        <w:t xml:space="preserve"> one RB </w:t>
      </w:r>
      <w:r w:rsidR="003C7668">
        <w:t xml:space="preserve">resembling the case where UE is cell edge and thus need high PSD transmission to reach BS. </w:t>
      </w:r>
      <w:r w:rsidR="00107BC2">
        <w:t>However, Rel-16 IAB only is targeted to fixed deployment</w:t>
      </w:r>
      <w:r w:rsidR="00F34E9C">
        <w:t xml:space="preserve"> and thus all rated carrier power allocated to single PRB is not likely to be needed</w:t>
      </w:r>
      <w:r w:rsidR="00752C86">
        <w:t xml:space="preserve">. </w:t>
      </w:r>
      <w:r w:rsidR="00F34E9C">
        <w:t>F</w:t>
      </w:r>
      <w:r w:rsidR="00752C86">
        <w:t xml:space="preserve">or IAB network, the backhaul </w:t>
      </w:r>
      <w:r w:rsidR="00110D79">
        <w:t xml:space="preserve">link bandwidth between IAB and its parent IAB-DU should be dimensioned </w:t>
      </w:r>
      <w:r w:rsidR="00107372">
        <w:t xml:space="preserve">first </w:t>
      </w:r>
      <w:r w:rsidR="00FA1BB4">
        <w:t xml:space="preserve">and </w:t>
      </w:r>
      <w:r w:rsidR="00107372">
        <w:t>as such</w:t>
      </w:r>
      <w:r w:rsidR="00FA1BB4">
        <w:t xml:space="preserve"> “planned network” is widely used as a term for </w:t>
      </w:r>
      <w:r w:rsidR="00107372">
        <w:t>IAB</w:t>
      </w:r>
      <w:r w:rsidR="00FA1BB4">
        <w:t xml:space="preserve"> deployment. </w:t>
      </w:r>
      <w:r w:rsidR="005551C9">
        <w:t xml:space="preserve"> </w:t>
      </w:r>
      <w:r w:rsidR="000D2C1B">
        <w:t xml:space="preserve">Such dimensioning should be targeted with higher bandwidth </w:t>
      </w:r>
      <w:r w:rsidR="00B37260">
        <w:t>to cope with peak cell traffic</w:t>
      </w:r>
      <w:r w:rsidR="00930909">
        <w:t xml:space="preserve">. For example, if the IAB-MT is dimensioned with 100MHz, the </w:t>
      </w:r>
      <w:r w:rsidR="00656418">
        <w:t xml:space="preserve">PSD received power at the parent IAB should be </w:t>
      </w:r>
      <w:r w:rsidR="009E7FCB">
        <w:t>66</w:t>
      </w:r>
      <w:r w:rsidR="00A97558">
        <w:t xml:space="preserve"> PRB for </w:t>
      </w:r>
      <w:r w:rsidR="009E7FCB">
        <w:t>12</w:t>
      </w:r>
      <w:r w:rsidR="00A97558">
        <w:t>0kHz SCS</w:t>
      </w:r>
      <w:r w:rsidR="009E7FCB">
        <w:t xml:space="preserve"> for FR2. </w:t>
      </w:r>
      <w:r w:rsidR="00725B07">
        <w:t xml:space="preserve">Thus the received PSD should be </w:t>
      </w:r>
      <w:proofErr w:type="gramStart"/>
      <w:r w:rsidR="00725B07">
        <w:t>Prated,carrier</w:t>
      </w:r>
      <w:proofErr w:type="gramEnd"/>
      <w:r w:rsidR="00A91746">
        <w:t xml:space="preserve">/66 PRB. </w:t>
      </w:r>
      <w:proofErr w:type="gramStart"/>
      <w:r w:rsidR="00A91746">
        <w:t>Also</w:t>
      </w:r>
      <w:proofErr w:type="gramEnd"/>
      <w:r w:rsidR="00A91746">
        <w:t xml:space="preserve"> </w:t>
      </w:r>
      <w:r w:rsidR="00A13530">
        <w:t xml:space="preserve">as parent IAB-DU can simultaneously receive child IAB-MT and UE, the PSD level should </w:t>
      </w:r>
      <w:r w:rsidR="009A1FE8">
        <w:t xml:space="preserve">be similar. </w:t>
      </w:r>
      <w:r w:rsidR="00263848">
        <w:t xml:space="preserve"> When child IAB-DU not carry too much traffic, the backhaul </w:t>
      </w:r>
      <w:r w:rsidR="00B30171">
        <w:t xml:space="preserve">link could be scheduled with </w:t>
      </w:r>
      <w:proofErr w:type="gramStart"/>
      <w:r w:rsidR="00B30171">
        <w:t>less</w:t>
      </w:r>
      <w:proofErr w:type="gramEnd"/>
      <w:r w:rsidR="00B30171">
        <w:t xml:space="preserve"> </w:t>
      </w:r>
      <w:r w:rsidR="00C56FC1">
        <w:t xml:space="preserve">number of </w:t>
      </w:r>
      <w:r w:rsidR="00B30171">
        <w:t xml:space="preserve">RB but with similar PSD with </w:t>
      </w:r>
      <w:r w:rsidR="00C56FC1">
        <w:t xml:space="preserve">high number of RB case. </w:t>
      </w:r>
    </w:p>
    <w:p w14:paraId="705D6C64" w14:textId="7B5E8738" w:rsidR="00C56FC1" w:rsidRPr="00B33F41" w:rsidRDefault="00C56FC1" w:rsidP="00534D65">
      <w:pPr>
        <w:rPr>
          <w:b/>
          <w:bCs/>
        </w:rPr>
      </w:pPr>
      <w:r w:rsidRPr="00B33F41">
        <w:rPr>
          <w:b/>
          <w:bCs/>
        </w:rPr>
        <w:t>Observation-1: Parent IAB-DU need</w:t>
      </w:r>
      <w:r w:rsidR="006959CB">
        <w:rPr>
          <w:b/>
          <w:bCs/>
        </w:rPr>
        <w:t>s</w:t>
      </w:r>
      <w:r w:rsidRPr="00B33F41">
        <w:rPr>
          <w:b/>
          <w:bCs/>
        </w:rPr>
        <w:t xml:space="preserve"> to dimension the backhaul link with high bandwidth to cope with peak traffic of the child IAB</w:t>
      </w:r>
      <w:r w:rsidR="009C30F7" w:rsidRPr="00B33F41">
        <w:rPr>
          <w:b/>
          <w:bCs/>
        </w:rPr>
        <w:t xml:space="preserve"> and thus PSD level should be set with high number of the RB case.</w:t>
      </w:r>
    </w:p>
    <w:p w14:paraId="4D33E652" w14:textId="06374A6E" w:rsidR="009C30F7" w:rsidRDefault="006766B7" w:rsidP="00534D65">
      <w:r>
        <w:t xml:space="preserve">For requirement </w:t>
      </w:r>
      <w:r w:rsidR="00C92E47">
        <w:t>specified in TS 38.174,</w:t>
      </w:r>
      <w:r w:rsidR="00254858">
        <w:t xml:space="preserve"> </w:t>
      </w:r>
      <w:r w:rsidR="00E829EB">
        <w:t xml:space="preserve">only </w:t>
      </w:r>
      <w:r w:rsidR="00A746D0">
        <w:t xml:space="preserve">one requirement relevant to the PSD discussion in [1] is the total power </w:t>
      </w:r>
      <w:r w:rsidR="00E829EB">
        <w:t>dynamic range which is below:</w:t>
      </w:r>
    </w:p>
    <w:p w14:paraId="76A9ED89" w14:textId="77777777" w:rsidR="00A04A0C" w:rsidRDefault="00A04A0C" w:rsidP="00A04A0C">
      <w:pPr>
        <w:pStyle w:val="Heading4"/>
        <w:numPr>
          <w:ilvl w:val="0"/>
          <w:numId w:val="0"/>
        </w:numPr>
        <w:ind w:left="864"/>
        <w:rPr>
          <w:lang w:eastAsia="zh-CN"/>
        </w:rPr>
      </w:pPr>
      <w:bookmarkStart w:id="0" w:name="_Toc53185327"/>
      <w:bookmarkStart w:id="1" w:name="_Toc53185703"/>
      <w:bookmarkStart w:id="2" w:name="_Toc57820178"/>
      <w:bookmarkStart w:id="3" w:name="_Toc57821105"/>
      <w:bookmarkStart w:id="4" w:name="_Toc61183381"/>
      <w:bookmarkStart w:id="5" w:name="_Toc61183775"/>
      <w:bookmarkStart w:id="6" w:name="_Toc61184167"/>
      <w:bookmarkStart w:id="7" w:name="_Toc61184559"/>
      <w:bookmarkStart w:id="8" w:name="_Toc61184949"/>
      <w:bookmarkStart w:id="9" w:name="_Toc66386292"/>
      <w:bookmarkStart w:id="10" w:name="_Toc74583133"/>
      <w:bookmarkStart w:id="11" w:name="_Toc76541946"/>
      <w:r>
        <w:t>6.3.2.1</w:t>
      </w:r>
      <w:r>
        <w:tab/>
        <w:t>Total power dynamic range</w:t>
      </w:r>
      <w:bookmarkEnd w:id="0"/>
      <w:bookmarkEnd w:id="1"/>
      <w:bookmarkEnd w:id="2"/>
      <w:bookmarkEnd w:id="3"/>
      <w:bookmarkEnd w:id="4"/>
      <w:bookmarkEnd w:id="5"/>
      <w:bookmarkEnd w:id="6"/>
      <w:bookmarkEnd w:id="7"/>
      <w:bookmarkEnd w:id="8"/>
      <w:bookmarkEnd w:id="9"/>
      <w:bookmarkEnd w:id="10"/>
      <w:bookmarkEnd w:id="11"/>
    </w:p>
    <w:p w14:paraId="700A8F83" w14:textId="77777777" w:rsidR="00A04A0C" w:rsidRDefault="00A04A0C" w:rsidP="00A04A0C">
      <w:pPr>
        <w:pStyle w:val="Heading5"/>
        <w:numPr>
          <w:ilvl w:val="0"/>
          <w:numId w:val="0"/>
        </w:numPr>
        <w:ind w:left="1008"/>
        <w:rPr>
          <w:lang w:eastAsia="en-GB"/>
        </w:rPr>
      </w:pPr>
      <w:bookmarkStart w:id="12" w:name="_Toc53185328"/>
      <w:bookmarkStart w:id="13" w:name="_Toc53185704"/>
      <w:bookmarkStart w:id="14" w:name="_Toc57820179"/>
      <w:bookmarkStart w:id="15" w:name="_Toc57821106"/>
      <w:bookmarkStart w:id="16" w:name="_Toc61183382"/>
      <w:bookmarkStart w:id="17" w:name="_Toc61183776"/>
      <w:bookmarkStart w:id="18" w:name="_Toc61184168"/>
      <w:bookmarkStart w:id="19" w:name="_Toc61184560"/>
      <w:bookmarkStart w:id="20" w:name="_Toc61184950"/>
      <w:bookmarkStart w:id="21" w:name="_Toc66386293"/>
      <w:bookmarkStart w:id="22" w:name="_Toc74583134"/>
      <w:bookmarkStart w:id="23" w:name="_Toc76541947"/>
      <w:r>
        <w:t>6.3.2.1.1</w:t>
      </w:r>
      <w:r>
        <w:tab/>
        <w:t>General</w:t>
      </w:r>
      <w:bookmarkEnd w:id="12"/>
      <w:bookmarkEnd w:id="13"/>
      <w:bookmarkEnd w:id="14"/>
      <w:bookmarkEnd w:id="15"/>
      <w:bookmarkEnd w:id="16"/>
      <w:bookmarkEnd w:id="17"/>
      <w:bookmarkEnd w:id="18"/>
      <w:bookmarkEnd w:id="19"/>
      <w:bookmarkEnd w:id="20"/>
      <w:bookmarkEnd w:id="21"/>
      <w:bookmarkEnd w:id="22"/>
      <w:bookmarkEnd w:id="23"/>
    </w:p>
    <w:p w14:paraId="60308069" w14:textId="77777777" w:rsidR="00A04A0C" w:rsidRDefault="00A04A0C" w:rsidP="00A04A0C">
      <w:pPr>
        <w:ind w:left="1008"/>
      </w:pPr>
      <w:bookmarkStart w:id="24" w:name="_Toc53185329"/>
      <w:bookmarkStart w:id="25" w:name="_Toc53185705"/>
      <w:bookmarkStart w:id="26" w:name="_Toc57820180"/>
      <w:bookmarkStart w:id="27" w:name="_Toc57821107"/>
      <w:bookmarkStart w:id="28" w:name="_Toc61183383"/>
      <w:bookmarkStart w:id="29" w:name="_Toc61183777"/>
      <w:bookmarkStart w:id="30" w:name="_Toc61184169"/>
      <w:bookmarkStart w:id="31" w:name="_Toc61184561"/>
      <w:bookmarkStart w:id="32" w:name="_Toc61184951"/>
      <w:r>
        <w:t>The IAB-MT total power dynamic range is the difference between the maximum and the minimum controlled transmit power in the channel bandwidth for a specified reference condition. The maximum and minimum output powers are defined as the mean power in at least one sub-frame 1ms.</w:t>
      </w:r>
    </w:p>
    <w:p w14:paraId="3FBB24AB" w14:textId="77777777" w:rsidR="00A04A0C" w:rsidRDefault="00A04A0C" w:rsidP="00A04A0C">
      <w:pPr>
        <w:pStyle w:val="NO"/>
        <w:ind w:left="2160"/>
      </w:pPr>
      <w:r>
        <w:t>NOTE:</w:t>
      </w:r>
      <w:r>
        <w:tab/>
        <w:t>The specified reference condition(s) are specified in the conformance specification Changes in the controlled transmit power in the channel bandwidth due to changes in the specified reference condition are not included as part of the dynamic range.</w:t>
      </w:r>
    </w:p>
    <w:p w14:paraId="097A9CE0" w14:textId="77777777" w:rsidR="00A04A0C" w:rsidRDefault="00A04A0C" w:rsidP="00A04A0C">
      <w:pPr>
        <w:pStyle w:val="Heading5"/>
        <w:numPr>
          <w:ilvl w:val="0"/>
          <w:numId w:val="0"/>
        </w:numPr>
        <w:ind w:left="1008"/>
        <w:rPr>
          <w:i/>
        </w:rPr>
      </w:pPr>
      <w:bookmarkStart w:id="33" w:name="_Toc66386294"/>
      <w:bookmarkStart w:id="34" w:name="_Toc74583135"/>
      <w:bookmarkStart w:id="35" w:name="_Toc76541948"/>
      <w:r>
        <w:lastRenderedPageBreak/>
        <w:t>6.3.2.1.2</w:t>
      </w:r>
      <w:r>
        <w:tab/>
        <w:t>Minimum requirement for IAB-MT</w:t>
      </w:r>
      <w:r>
        <w:rPr>
          <w:i/>
        </w:rPr>
        <w:t xml:space="preserve"> type 1-H</w:t>
      </w:r>
      <w:bookmarkEnd w:id="24"/>
      <w:bookmarkEnd w:id="25"/>
      <w:bookmarkEnd w:id="26"/>
      <w:bookmarkEnd w:id="27"/>
      <w:bookmarkEnd w:id="28"/>
      <w:bookmarkEnd w:id="29"/>
      <w:bookmarkEnd w:id="30"/>
      <w:bookmarkEnd w:id="31"/>
      <w:bookmarkEnd w:id="32"/>
      <w:bookmarkEnd w:id="33"/>
      <w:bookmarkEnd w:id="34"/>
      <w:bookmarkEnd w:id="35"/>
    </w:p>
    <w:p w14:paraId="3FE0EE4E" w14:textId="77777777" w:rsidR="00A04A0C" w:rsidRDefault="00A04A0C" w:rsidP="00A04A0C">
      <w:pPr>
        <w:ind w:left="1008"/>
      </w:pPr>
      <w:r>
        <w:t>For a wide area IAB-MT the total power dynamic range for each NR carrier shall be larger than or equal to 5 dB.</w:t>
      </w:r>
    </w:p>
    <w:p w14:paraId="3322F144" w14:textId="77777777" w:rsidR="00A04A0C" w:rsidRDefault="00A04A0C" w:rsidP="00A04A0C">
      <w:pPr>
        <w:ind w:left="1008"/>
      </w:pPr>
      <w:r>
        <w:t>For a local area IAB-MT the total power dynamic range for each NR carrier shall be larger than or equal to 10 dB.</w:t>
      </w:r>
    </w:p>
    <w:p w14:paraId="71B904FD" w14:textId="152739C7" w:rsidR="00E829EB" w:rsidRDefault="00487CBE" w:rsidP="00534D65">
      <w:r>
        <w:t xml:space="preserve">The above requirement </w:t>
      </w:r>
      <w:r w:rsidR="004B4E85">
        <w:t xml:space="preserve">is to specify a min range of 5 dB or 10 dB for either WA IAB-MT </w:t>
      </w:r>
      <w:proofErr w:type="gramStart"/>
      <w:r w:rsidR="004B4E85">
        <w:t>and</w:t>
      </w:r>
      <w:proofErr w:type="gramEnd"/>
      <w:r w:rsidR="004B4E85">
        <w:t xml:space="preserve"> LA IAB-MT. The </w:t>
      </w:r>
      <w:r w:rsidR="00FD2B49">
        <w:t xml:space="preserve">dynamic range of above requirement include </w:t>
      </w:r>
      <w:r w:rsidR="00134B8D">
        <w:t xml:space="preserve">both constant PSD power dynamic range X and PSD dynamic range Y during the requirement discussion. </w:t>
      </w:r>
      <w:r w:rsidR="00C92E47">
        <w:t xml:space="preserve">It is common understanding that </w:t>
      </w:r>
      <w:r w:rsidR="008E0DFC">
        <w:t xml:space="preserve">for </w:t>
      </w:r>
      <w:r w:rsidR="00684C70">
        <w:t>PSD dynamic range</w:t>
      </w:r>
      <w:r w:rsidR="008E0DFC">
        <w:t xml:space="preserve"> X, the </w:t>
      </w:r>
      <w:r w:rsidR="00523686">
        <w:t xml:space="preserve">upper PSD </w:t>
      </w:r>
      <w:r w:rsidR="00684C70">
        <w:t xml:space="preserve">is </w:t>
      </w:r>
      <w:r w:rsidR="00523686">
        <w:t>the</w:t>
      </w:r>
      <w:r w:rsidR="00684C70">
        <w:t xml:space="preserve"> </w:t>
      </w:r>
      <w:r w:rsidR="00943D50">
        <w:t xml:space="preserve">constant </w:t>
      </w:r>
      <w:r w:rsidR="00815304">
        <w:t>PSD level</w:t>
      </w:r>
      <w:r w:rsidR="00FE4A25">
        <w:t xml:space="preserve"> </w:t>
      </w:r>
      <w:r w:rsidR="00684C70">
        <w:t>where rated carrier power is declared</w:t>
      </w:r>
      <w:r w:rsidR="00523686">
        <w:t xml:space="preserve"> </w:t>
      </w:r>
      <w:r w:rsidR="00943D50">
        <w:t xml:space="preserve">with any allocated # PRB </w:t>
      </w:r>
      <w:r w:rsidR="00523686">
        <w:t xml:space="preserve">and lower PSD is </w:t>
      </w:r>
      <w:r w:rsidR="00204B2F">
        <w:t>such</w:t>
      </w:r>
      <w:r w:rsidR="00FE4A25">
        <w:t xml:space="preserve"> PSD level </w:t>
      </w:r>
      <w:r w:rsidR="00204B2F">
        <w:t>minus</w:t>
      </w:r>
      <w:r w:rsidR="00FE4A25">
        <w:t xml:space="preserve"> 5 /10 dB for WA IAB-MT and LA IAB-MT</w:t>
      </w:r>
      <w:r w:rsidR="00204B2F">
        <w:t xml:space="preserve"> respectively</w:t>
      </w:r>
      <w:r w:rsidR="00FE4A25">
        <w:t xml:space="preserve">. </w:t>
      </w:r>
      <w:r w:rsidR="00995E19">
        <w:t xml:space="preserve"> Such upper PSD level should be </w:t>
      </w:r>
      <w:r w:rsidR="000C24BD">
        <w:t xml:space="preserve">corresponding to high number PRB </w:t>
      </w:r>
      <w:r w:rsidR="000A45E7">
        <w:t xml:space="preserve">to cope with peak traffic. </w:t>
      </w:r>
      <w:r w:rsidR="0085640C">
        <w:t xml:space="preserve">Then IAB-MT should maintain its PSD level for other </w:t>
      </w:r>
      <w:r w:rsidR="007954C4">
        <w:t xml:space="preserve">number of PRB but </w:t>
      </w:r>
      <w:r w:rsidR="00C472E2">
        <w:t>can</w:t>
      </w:r>
      <w:r w:rsidR="007954C4">
        <w:t xml:space="preserve"> </w:t>
      </w:r>
      <w:r w:rsidR="00C472E2">
        <w:t>be adjusted</w:t>
      </w:r>
      <w:r w:rsidR="007954C4">
        <w:t xml:space="preserve"> </w:t>
      </w:r>
      <w:r w:rsidR="00660531">
        <w:t>taking account</w:t>
      </w:r>
      <w:r w:rsidR="00751D31">
        <w:t xml:space="preserve"> of</w:t>
      </w:r>
      <w:r w:rsidR="007954C4">
        <w:t xml:space="preserve"> large scale of radio channel</w:t>
      </w:r>
      <w:r w:rsidR="00C472E2">
        <w:t xml:space="preserve"> attenuation. </w:t>
      </w:r>
      <w:r w:rsidR="00975E8B">
        <w:t>Therefore,</w:t>
      </w:r>
      <w:r w:rsidR="006B7D15">
        <w:t xml:space="preserve"> </w:t>
      </w:r>
      <w:r w:rsidR="00975E8B">
        <w:t>the rated carrier</w:t>
      </w:r>
      <w:r w:rsidR="006B7D15">
        <w:t xml:space="preserve"> power allocated to single PRB is not discussed in specification and if one</w:t>
      </w:r>
      <w:r w:rsidR="00652881">
        <w:t xml:space="preserve"> manufacture </w:t>
      </w:r>
      <w:proofErr w:type="gramStart"/>
      <w:r w:rsidR="00652881">
        <w:t>do</w:t>
      </w:r>
      <w:proofErr w:type="gramEnd"/>
      <w:r w:rsidR="00652881">
        <w:t xml:space="preserve"> so with unknown reason, it would be its own responsibility to guarantee the compliance of the regulatory requirement</w:t>
      </w:r>
      <w:r w:rsidR="00962129">
        <w:t xml:space="preserve"> and out of the 3GPP scope. </w:t>
      </w:r>
    </w:p>
    <w:p w14:paraId="324A2248" w14:textId="0F935D6D" w:rsidR="00252FDF" w:rsidRPr="00C3294D" w:rsidRDefault="00252FDF" w:rsidP="00534D65">
      <w:pPr>
        <w:rPr>
          <w:b/>
          <w:bCs/>
        </w:rPr>
      </w:pPr>
      <w:r w:rsidRPr="00C3294D">
        <w:rPr>
          <w:b/>
          <w:bCs/>
        </w:rPr>
        <w:t xml:space="preserve">Observation-2: All rated carrier power allocated to single RB </w:t>
      </w:r>
      <w:r w:rsidR="00975E8B" w:rsidRPr="00C3294D">
        <w:rPr>
          <w:b/>
          <w:bCs/>
        </w:rPr>
        <w:t xml:space="preserve">behaviour </w:t>
      </w:r>
      <w:r w:rsidRPr="00C3294D">
        <w:rPr>
          <w:b/>
          <w:bCs/>
        </w:rPr>
        <w:t>is not specified in TS 38.174.</w:t>
      </w:r>
    </w:p>
    <w:p w14:paraId="26DD0145" w14:textId="37AB94C8" w:rsidR="000442DD" w:rsidRDefault="00B414CC" w:rsidP="00534D65">
      <w:r w:rsidRPr="003B53AB">
        <w:t>Lastly, the A-MPR/MPR designed for UE is not re</w:t>
      </w:r>
      <w:r w:rsidR="003B53AB" w:rsidRPr="003B53AB">
        <w:t>quired for IAB as the output power is declarable</w:t>
      </w:r>
      <w:r w:rsidR="0055616D">
        <w:t xml:space="preserve">. Manufacture should make sure the regulatory/3GPP requirement </w:t>
      </w:r>
      <w:r w:rsidR="00071FCB">
        <w:t xml:space="preserve">are </w:t>
      </w:r>
      <w:r w:rsidR="007C03E2">
        <w:t>complied at declared output power</w:t>
      </w:r>
      <w:r w:rsidR="00071FCB">
        <w:t>.</w:t>
      </w:r>
      <w:r w:rsidR="000442DD">
        <w:t xml:space="preserve"> </w:t>
      </w:r>
    </w:p>
    <w:p w14:paraId="4C777DB2" w14:textId="62128E19" w:rsidR="000442DD" w:rsidRDefault="00D514FE" w:rsidP="00534D65">
      <w:r>
        <w:t xml:space="preserve">From above discussion, this high PSD power case is </w:t>
      </w:r>
      <w:r w:rsidR="00535D38">
        <w:t>not</w:t>
      </w:r>
      <w:r>
        <w:t xml:space="preserve"> needed from IAB network dimensioning </w:t>
      </w:r>
      <w:r w:rsidR="00353D75">
        <w:t xml:space="preserve">nor specified in TS 38.174. </w:t>
      </w:r>
      <w:proofErr w:type="gramStart"/>
      <w:r w:rsidR="00353D75">
        <w:t>Thus</w:t>
      </w:r>
      <w:proofErr w:type="gramEnd"/>
      <w:r w:rsidR="00353D75">
        <w:t xml:space="preserve"> we recommend not pursue </w:t>
      </w:r>
      <w:r w:rsidR="00361142">
        <w:t>test case discussion for this case.</w:t>
      </w:r>
    </w:p>
    <w:p w14:paraId="5AD1E906" w14:textId="4C242FE7" w:rsidR="00361142" w:rsidRPr="00361142" w:rsidRDefault="00361142" w:rsidP="00534D65">
      <w:pPr>
        <w:rPr>
          <w:b/>
          <w:bCs/>
        </w:rPr>
      </w:pPr>
      <w:r w:rsidRPr="00361142">
        <w:rPr>
          <w:b/>
          <w:bCs/>
        </w:rPr>
        <w:t>Proposal: No need to continue discussion on high PSD power case.</w:t>
      </w:r>
    </w:p>
    <w:p w14:paraId="229F2C62" w14:textId="77777777" w:rsidR="00E2572C" w:rsidRDefault="00E2572C" w:rsidP="00E2572C">
      <w:pPr>
        <w:pStyle w:val="Heading1"/>
        <w:rPr>
          <w:lang w:val="en-US"/>
        </w:rPr>
      </w:pPr>
      <w:r>
        <w:rPr>
          <w:lang w:val="en-US"/>
        </w:rPr>
        <w:t>Conclusions</w:t>
      </w:r>
    </w:p>
    <w:p w14:paraId="4F766CA4" w14:textId="706C1C99" w:rsidR="00A519BB" w:rsidRDefault="00422025" w:rsidP="009F5C86">
      <w:pPr>
        <w:rPr>
          <w:lang w:val="en-US"/>
        </w:rPr>
      </w:pPr>
      <w:r>
        <w:rPr>
          <w:lang w:val="en-US"/>
        </w:rPr>
        <w:t>In this contribution</w:t>
      </w:r>
      <w:r w:rsidR="00A519BB">
        <w:rPr>
          <w:lang w:val="en-US"/>
        </w:rPr>
        <w:t xml:space="preserve">, </w:t>
      </w:r>
      <w:r w:rsidR="00947644">
        <w:rPr>
          <w:lang w:val="en-US"/>
        </w:rPr>
        <w:t xml:space="preserve">we present our view on the </w:t>
      </w:r>
      <w:r w:rsidR="00016463">
        <w:rPr>
          <w:lang w:val="en-US"/>
        </w:rPr>
        <w:t>IAB single PRB high PSD testing</w:t>
      </w:r>
      <w:r w:rsidR="00947644">
        <w:rPr>
          <w:lang w:val="en-US"/>
        </w:rPr>
        <w:t xml:space="preserve"> with below observation and proposal:</w:t>
      </w:r>
    </w:p>
    <w:p w14:paraId="16B53CB7" w14:textId="5BFCEAB2" w:rsidR="00F82F05" w:rsidRDefault="005E0C28" w:rsidP="009F5C86">
      <w:pPr>
        <w:rPr>
          <w:b/>
          <w:bCs/>
        </w:rPr>
      </w:pPr>
      <w:r w:rsidRPr="005E0C28">
        <w:rPr>
          <w:b/>
          <w:bCs/>
        </w:rPr>
        <w:t>Observation-1: Parent IAB-DU needs to dimension the backhaul link with high bandwidth to cope with peak traffic of the child IAB and thus PSD level should be set with high number of the RB case.</w:t>
      </w:r>
    </w:p>
    <w:p w14:paraId="626A3ADC" w14:textId="77777777" w:rsidR="005E0C28" w:rsidRPr="00C3294D" w:rsidRDefault="005E0C28" w:rsidP="005E0C28">
      <w:pPr>
        <w:rPr>
          <w:b/>
          <w:bCs/>
        </w:rPr>
      </w:pPr>
      <w:r w:rsidRPr="00C3294D">
        <w:rPr>
          <w:b/>
          <w:bCs/>
        </w:rPr>
        <w:t>Observation-2: All rated carrier power allocated to single RB behaviour is not specified in TS 38.174.</w:t>
      </w:r>
    </w:p>
    <w:p w14:paraId="10C4A13C" w14:textId="30541C18" w:rsidR="005E0C28" w:rsidRPr="005E0C28" w:rsidRDefault="005E0C28" w:rsidP="009F5C86">
      <w:pPr>
        <w:rPr>
          <w:b/>
          <w:bCs/>
        </w:rPr>
      </w:pPr>
      <w:r w:rsidRPr="00361142">
        <w:rPr>
          <w:b/>
          <w:bCs/>
        </w:rPr>
        <w:t>Proposal: No need to continue discussion on high PSD power case.</w:t>
      </w:r>
    </w:p>
    <w:p w14:paraId="69ABD5C9" w14:textId="77777777" w:rsidR="009506E1" w:rsidRPr="009177A5" w:rsidRDefault="009506E1" w:rsidP="009506E1">
      <w:pPr>
        <w:pStyle w:val="Heading1"/>
        <w:rPr>
          <w:lang w:val="en-US"/>
        </w:rPr>
      </w:pPr>
      <w:r w:rsidRPr="009177A5">
        <w:rPr>
          <w:lang w:val="en-US"/>
        </w:rPr>
        <w:t>References</w:t>
      </w:r>
    </w:p>
    <w:p w14:paraId="1C713FD1" w14:textId="31206E68" w:rsidR="00210ACF" w:rsidRPr="004461B6" w:rsidRDefault="004B7F24" w:rsidP="00210ACF">
      <w:pPr>
        <w:numPr>
          <w:ilvl w:val="0"/>
          <w:numId w:val="9"/>
        </w:numPr>
        <w:rPr>
          <w:lang w:val="en-US" w:eastAsia="ja-JP"/>
        </w:rPr>
      </w:pPr>
      <w:r w:rsidRPr="004B7F24">
        <w:rPr>
          <w:lang w:eastAsia="ja-JP"/>
        </w:rPr>
        <w:t>R4-2108563</w:t>
      </w:r>
      <w:r w:rsidR="009B1753">
        <w:rPr>
          <w:lang w:eastAsia="ja-JP"/>
        </w:rPr>
        <w:t>,</w:t>
      </w:r>
      <w:r w:rsidR="009B1753" w:rsidRPr="009B1753">
        <w:rPr>
          <w:lang w:eastAsia="ja-JP"/>
        </w:rPr>
        <w:t xml:space="preserve"> </w:t>
      </w:r>
      <w:r w:rsidRPr="004B7F24">
        <w:rPr>
          <w:lang w:eastAsia="ja-JP"/>
        </w:rPr>
        <w:t>WF on single RB High PS</w:t>
      </w:r>
      <w:r>
        <w:rPr>
          <w:lang w:eastAsia="ja-JP"/>
        </w:rPr>
        <w:t>D, Nokia</w:t>
      </w:r>
    </w:p>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D47E1" w14:textId="77777777" w:rsidR="000C7B76" w:rsidRDefault="000C7B76">
      <w:r>
        <w:separator/>
      </w:r>
    </w:p>
  </w:endnote>
  <w:endnote w:type="continuationSeparator" w:id="0">
    <w:p w14:paraId="30D8F151" w14:textId="77777777" w:rsidR="000C7B76" w:rsidRDefault="000C7B76">
      <w:r>
        <w:continuationSeparator/>
      </w:r>
    </w:p>
  </w:endnote>
  <w:endnote w:type="continuationNotice" w:id="1">
    <w:p w14:paraId="7B010F9F" w14:textId="77777777" w:rsidR="000C7B76" w:rsidRDefault="000C7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0BCCC" w14:textId="77777777" w:rsidR="000C7B76" w:rsidRDefault="000C7B76">
      <w:r>
        <w:separator/>
      </w:r>
    </w:p>
  </w:footnote>
  <w:footnote w:type="continuationSeparator" w:id="0">
    <w:p w14:paraId="207C3A76" w14:textId="77777777" w:rsidR="000C7B76" w:rsidRDefault="000C7B76">
      <w:r>
        <w:continuationSeparator/>
      </w:r>
    </w:p>
  </w:footnote>
  <w:footnote w:type="continuationNotice" w:id="1">
    <w:p w14:paraId="76672180" w14:textId="77777777" w:rsidR="000C7B76" w:rsidRDefault="000C7B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3"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2"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66661DCA"/>
    <w:multiLevelType w:val="hybridMultilevel"/>
    <w:tmpl w:val="0DE2D53A"/>
    <w:lvl w:ilvl="0" w:tplc="95F07F7A">
      <w:start w:val="1"/>
      <w:numFmt w:val="bullet"/>
      <w:lvlText w:val="•"/>
      <w:lvlJc w:val="left"/>
      <w:pPr>
        <w:tabs>
          <w:tab w:val="num" w:pos="720"/>
        </w:tabs>
        <w:ind w:left="720" w:hanging="360"/>
      </w:pPr>
      <w:rPr>
        <w:rFonts w:ascii="Arial" w:hAnsi="Arial" w:hint="default"/>
      </w:rPr>
    </w:lvl>
    <w:lvl w:ilvl="1" w:tplc="10945050" w:tentative="1">
      <w:start w:val="1"/>
      <w:numFmt w:val="bullet"/>
      <w:lvlText w:val="•"/>
      <w:lvlJc w:val="left"/>
      <w:pPr>
        <w:tabs>
          <w:tab w:val="num" w:pos="1440"/>
        </w:tabs>
        <w:ind w:left="1440" w:hanging="360"/>
      </w:pPr>
      <w:rPr>
        <w:rFonts w:ascii="Arial" w:hAnsi="Arial" w:hint="default"/>
      </w:rPr>
    </w:lvl>
    <w:lvl w:ilvl="2" w:tplc="7D9658DA" w:tentative="1">
      <w:start w:val="1"/>
      <w:numFmt w:val="bullet"/>
      <w:lvlText w:val="•"/>
      <w:lvlJc w:val="left"/>
      <w:pPr>
        <w:tabs>
          <w:tab w:val="num" w:pos="2160"/>
        </w:tabs>
        <w:ind w:left="2160" w:hanging="360"/>
      </w:pPr>
      <w:rPr>
        <w:rFonts w:ascii="Arial" w:hAnsi="Arial" w:hint="default"/>
      </w:rPr>
    </w:lvl>
    <w:lvl w:ilvl="3" w:tplc="351CE5C0" w:tentative="1">
      <w:start w:val="1"/>
      <w:numFmt w:val="bullet"/>
      <w:lvlText w:val="•"/>
      <w:lvlJc w:val="left"/>
      <w:pPr>
        <w:tabs>
          <w:tab w:val="num" w:pos="2880"/>
        </w:tabs>
        <w:ind w:left="2880" w:hanging="360"/>
      </w:pPr>
      <w:rPr>
        <w:rFonts w:ascii="Arial" w:hAnsi="Arial" w:hint="default"/>
      </w:rPr>
    </w:lvl>
    <w:lvl w:ilvl="4" w:tplc="81A64BAA" w:tentative="1">
      <w:start w:val="1"/>
      <w:numFmt w:val="bullet"/>
      <w:lvlText w:val="•"/>
      <w:lvlJc w:val="left"/>
      <w:pPr>
        <w:tabs>
          <w:tab w:val="num" w:pos="3600"/>
        </w:tabs>
        <w:ind w:left="3600" w:hanging="360"/>
      </w:pPr>
      <w:rPr>
        <w:rFonts w:ascii="Arial" w:hAnsi="Arial" w:hint="default"/>
      </w:rPr>
    </w:lvl>
    <w:lvl w:ilvl="5" w:tplc="48F6897A" w:tentative="1">
      <w:start w:val="1"/>
      <w:numFmt w:val="bullet"/>
      <w:lvlText w:val="•"/>
      <w:lvlJc w:val="left"/>
      <w:pPr>
        <w:tabs>
          <w:tab w:val="num" w:pos="4320"/>
        </w:tabs>
        <w:ind w:left="4320" w:hanging="360"/>
      </w:pPr>
      <w:rPr>
        <w:rFonts w:ascii="Arial" w:hAnsi="Arial" w:hint="default"/>
      </w:rPr>
    </w:lvl>
    <w:lvl w:ilvl="6" w:tplc="6FD6FE9A" w:tentative="1">
      <w:start w:val="1"/>
      <w:numFmt w:val="bullet"/>
      <w:lvlText w:val="•"/>
      <w:lvlJc w:val="left"/>
      <w:pPr>
        <w:tabs>
          <w:tab w:val="num" w:pos="5040"/>
        </w:tabs>
        <w:ind w:left="5040" w:hanging="360"/>
      </w:pPr>
      <w:rPr>
        <w:rFonts w:ascii="Arial" w:hAnsi="Arial" w:hint="default"/>
      </w:rPr>
    </w:lvl>
    <w:lvl w:ilvl="7" w:tplc="001450DE" w:tentative="1">
      <w:start w:val="1"/>
      <w:numFmt w:val="bullet"/>
      <w:lvlText w:val="•"/>
      <w:lvlJc w:val="left"/>
      <w:pPr>
        <w:tabs>
          <w:tab w:val="num" w:pos="5760"/>
        </w:tabs>
        <w:ind w:left="5760" w:hanging="360"/>
      </w:pPr>
      <w:rPr>
        <w:rFonts w:ascii="Arial" w:hAnsi="Arial" w:hint="default"/>
      </w:rPr>
    </w:lvl>
    <w:lvl w:ilvl="8" w:tplc="A55C64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6D34E20"/>
    <w:multiLevelType w:val="hybridMultilevel"/>
    <w:tmpl w:val="B8CCFFAC"/>
    <w:lvl w:ilvl="0" w:tplc="F85EEEA0">
      <w:start w:val="1"/>
      <w:numFmt w:val="bullet"/>
      <w:lvlText w:val=""/>
      <w:lvlJc w:val="left"/>
      <w:pPr>
        <w:tabs>
          <w:tab w:val="num" w:pos="720"/>
        </w:tabs>
        <w:ind w:left="720" w:hanging="360"/>
      </w:pPr>
      <w:rPr>
        <w:rFonts w:ascii="Symbol" w:hAnsi="Symbol" w:hint="default"/>
      </w:rPr>
    </w:lvl>
    <w:lvl w:ilvl="1" w:tplc="1C543BEC">
      <w:numFmt w:val="bullet"/>
      <w:lvlText w:val="–"/>
      <w:lvlJc w:val="left"/>
      <w:pPr>
        <w:tabs>
          <w:tab w:val="num" w:pos="1440"/>
        </w:tabs>
        <w:ind w:left="1440" w:hanging="360"/>
      </w:pPr>
      <w:rPr>
        <w:rFonts w:ascii="Arial" w:hAnsi="Arial" w:hint="default"/>
      </w:rPr>
    </w:lvl>
    <w:lvl w:ilvl="2" w:tplc="277E9662">
      <w:numFmt w:val="bullet"/>
      <w:lvlText w:val="o"/>
      <w:lvlJc w:val="left"/>
      <w:pPr>
        <w:tabs>
          <w:tab w:val="num" w:pos="2160"/>
        </w:tabs>
        <w:ind w:left="2160" w:hanging="360"/>
      </w:pPr>
      <w:rPr>
        <w:rFonts w:ascii="Courier New" w:hAnsi="Courier New" w:hint="default"/>
      </w:rPr>
    </w:lvl>
    <w:lvl w:ilvl="3" w:tplc="9C6AF83E" w:tentative="1">
      <w:start w:val="1"/>
      <w:numFmt w:val="bullet"/>
      <w:lvlText w:val=""/>
      <w:lvlJc w:val="left"/>
      <w:pPr>
        <w:tabs>
          <w:tab w:val="num" w:pos="2880"/>
        </w:tabs>
        <w:ind w:left="2880" w:hanging="360"/>
      </w:pPr>
      <w:rPr>
        <w:rFonts w:ascii="Symbol" w:hAnsi="Symbol" w:hint="default"/>
      </w:rPr>
    </w:lvl>
    <w:lvl w:ilvl="4" w:tplc="118CADB6" w:tentative="1">
      <w:start w:val="1"/>
      <w:numFmt w:val="bullet"/>
      <w:lvlText w:val=""/>
      <w:lvlJc w:val="left"/>
      <w:pPr>
        <w:tabs>
          <w:tab w:val="num" w:pos="3600"/>
        </w:tabs>
        <w:ind w:left="3600" w:hanging="360"/>
      </w:pPr>
      <w:rPr>
        <w:rFonts w:ascii="Symbol" w:hAnsi="Symbol" w:hint="default"/>
      </w:rPr>
    </w:lvl>
    <w:lvl w:ilvl="5" w:tplc="8DDA840E" w:tentative="1">
      <w:start w:val="1"/>
      <w:numFmt w:val="bullet"/>
      <w:lvlText w:val=""/>
      <w:lvlJc w:val="left"/>
      <w:pPr>
        <w:tabs>
          <w:tab w:val="num" w:pos="4320"/>
        </w:tabs>
        <w:ind w:left="4320" w:hanging="360"/>
      </w:pPr>
      <w:rPr>
        <w:rFonts w:ascii="Symbol" w:hAnsi="Symbol" w:hint="default"/>
      </w:rPr>
    </w:lvl>
    <w:lvl w:ilvl="6" w:tplc="99024870" w:tentative="1">
      <w:start w:val="1"/>
      <w:numFmt w:val="bullet"/>
      <w:lvlText w:val=""/>
      <w:lvlJc w:val="left"/>
      <w:pPr>
        <w:tabs>
          <w:tab w:val="num" w:pos="5040"/>
        </w:tabs>
        <w:ind w:left="5040" w:hanging="360"/>
      </w:pPr>
      <w:rPr>
        <w:rFonts w:ascii="Symbol" w:hAnsi="Symbol" w:hint="default"/>
      </w:rPr>
    </w:lvl>
    <w:lvl w:ilvl="7" w:tplc="66E830DC" w:tentative="1">
      <w:start w:val="1"/>
      <w:numFmt w:val="bullet"/>
      <w:lvlText w:val=""/>
      <w:lvlJc w:val="left"/>
      <w:pPr>
        <w:tabs>
          <w:tab w:val="num" w:pos="5760"/>
        </w:tabs>
        <w:ind w:left="5760" w:hanging="360"/>
      </w:pPr>
      <w:rPr>
        <w:rFonts w:ascii="Symbol" w:hAnsi="Symbol" w:hint="default"/>
      </w:rPr>
    </w:lvl>
    <w:lvl w:ilvl="8" w:tplc="CACC9B4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19"/>
  </w:num>
  <w:num w:numId="3">
    <w:abstractNumId w:val="44"/>
  </w:num>
  <w:num w:numId="4">
    <w:abstractNumId w:val="10"/>
  </w:num>
  <w:num w:numId="5">
    <w:abstractNumId w:val="30"/>
  </w:num>
  <w:num w:numId="6">
    <w:abstractNumId w:val="24"/>
  </w:num>
  <w:num w:numId="7">
    <w:abstractNumId w:val="23"/>
  </w:num>
  <w:num w:numId="8">
    <w:abstractNumId w:val="33"/>
  </w:num>
  <w:num w:numId="9">
    <w:abstractNumId w:val="17"/>
  </w:num>
  <w:num w:numId="10">
    <w:abstractNumId w:val="31"/>
  </w:num>
  <w:num w:numId="11">
    <w:abstractNumId w:val="3"/>
  </w:num>
  <w:num w:numId="12">
    <w:abstractNumId w:val="42"/>
  </w:num>
  <w:num w:numId="13">
    <w:abstractNumId w:val="18"/>
  </w:num>
  <w:num w:numId="14">
    <w:abstractNumId w:val="6"/>
  </w:num>
  <w:num w:numId="15">
    <w:abstractNumId w:val="36"/>
  </w:num>
  <w:num w:numId="16">
    <w:abstractNumId w:val="29"/>
  </w:num>
  <w:num w:numId="17">
    <w:abstractNumId w:val="45"/>
  </w:num>
  <w:num w:numId="18">
    <w:abstractNumId w:val="2"/>
  </w:num>
  <w:num w:numId="19">
    <w:abstractNumId w:val="28"/>
  </w:num>
  <w:num w:numId="20">
    <w:abstractNumId w:val="0"/>
  </w:num>
  <w:num w:numId="21">
    <w:abstractNumId w:val="38"/>
  </w:num>
  <w:num w:numId="22">
    <w:abstractNumId w:val="8"/>
  </w:num>
  <w:num w:numId="23">
    <w:abstractNumId w:val="27"/>
  </w:num>
  <w:num w:numId="24">
    <w:abstractNumId w:val="7"/>
  </w:num>
  <w:num w:numId="25">
    <w:abstractNumId w:val="12"/>
  </w:num>
  <w:num w:numId="26">
    <w:abstractNumId w:val="15"/>
  </w:num>
  <w:num w:numId="27">
    <w:abstractNumId w:val="20"/>
  </w:num>
  <w:num w:numId="28">
    <w:abstractNumId w:val="5"/>
  </w:num>
  <w:num w:numId="29">
    <w:abstractNumId w:val="4"/>
  </w:num>
  <w:num w:numId="30">
    <w:abstractNumId w:val="16"/>
  </w:num>
  <w:num w:numId="31">
    <w:abstractNumId w:val="39"/>
  </w:num>
  <w:num w:numId="32">
    <w:abstractNumId w:val="1"/>
  </w:num>
  <w:num w:numId="33">
    <w:abstractNumId w:val="14"/>
  </w:num>
  <w:num w:numId="34">
    <w:abstractNumId w:val="26"/>
  </w:num>
  <w:num w:numId="35">
    <w:abstractNumId w:val="25"/>
  </w:num>
  <w:num w:numId="36">
    <w:abstractNumId w:val="32"/>
  </w:num>
  <w:num w:numId="37">
    <w:abstractNumId w:val="41"/>
  </w:num>
  <w:num w:numId="38">
    <w:abstractNumId w:val="13"/>
  </w:num>
  <w:num w:numId="39">
    <w:abstractNumId w:val="11"/>
  </w:num>
  <w:num w:numId="40">
    <w:abstractNumId w:val="37"/>
  </w:num>
  <w:num w:numId="41">
    <w:abstractNumId w:val="34"/>
  </w:num>
  <w:num w:numId="42">
    <w:abstractNumId w:val="21"/>
  </w:num>
  <w:num w:numId="43">
    <w:abstractNumId w:val="43"/>
  </w:num>
  <w:num w:numId="44">
    <w:abstractNumId w:val="9"/>
  </w:num>
  <w:num w:numId="45">
    <w:abstractNumId w:val="40"/>
  </w:num>
  <w:num w:numId="46">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B2"/>
    <w:rsid w:val="00001674"/>
    <w:rsid w:val="00002559"/>
    <w:rsid w:val="00003045"/>
    <w:rsid w:val="0000323E"/>
    <w:rsid w:val="00004188"/>
    <w:rsid w:val="000045EA"/>
    <w:rsid w:val="00005334"/>
    <w:rsid w:val="00005BF4"/>
    <w:rsid w:val="000060F3"/>
    <w:rsid w:val="00006423"/>
    <w:rsid w:val="00006A97"/>
    <w:rsid w:val="00006E8B"/>
    <w:rsid w:val="000071CB"/>
    <w:rsid w:val="0000761E"/>
    <w:rsid w:val="00010FD2"/>
    <w:rsid w:val="000113FF"/>
    <w:rsid w:val="00011776"/>
    <w:rsid w:val="00011F6C"/>
    <w:rsid w:val="000122C6"/>
    <w:rsid w:val="00012B35"/>
    <w:rsid w:val="000133F8"/>
    <w:rsid w:val="0001438F"/>
    <w:rsid w:val="00015CE9"/>
    <w:rsid w:val="00016463"/>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2DD"/>
    <w:rsid w:val="00044890"/>
    <w:rsid w:val="00044954"/>
    <w:rsid w:val="00045247"/>
    <w:rsid w:val="0004535B"/>
    <w:rsid w:val="0004683D"/>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4A7"/>
    <w:rsid w:val="00071D98"/>
    <w:rsid w:val="00071FCB"/>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6E23"/>
    <w:rsid w:val="00087285"/>
    <w:rsid w:val="00087912"/>
    <w:rsid w:val="00090220"/>
    <w:rsid w:val="0009055A"/>
    <w:rsid w:val="0009106C"/>
    <w:rsid w:val="0009164C"/>
    <w:rsid w:val="00091A8F"/>
    <w:rsid w:val="0009211E"/>
    <w:rsid w:val="00093210"/>
    <w:rsid w:val="00093671"/>
    <w:rsid w:val="00093AF4"/>
    <w:rsid w:val="00093C10"/>
    <w:rsid w:val="00093E43"/>
    <w:rsid w:val="00094ACF"/>
    <w:rsid w:val="00095574"/>
    <w:rsid w:val="0009575D"/>
    <w:rsid w:val="00095FA1"/>
    <w:rsid w:val="0009695B"/>
    <w:rsid w:val="000A02F7"/>
    <w:rsid w:val="000A05E4"/>
    <w:rsid w:val="000A0AB2"/>
    <w:rsid w:val="000A17F1"/>
    <w:rsid w:val="000A1FB9"/>
    <w:rsid w:val="000A2C27"/>
    <w:rsid w:val="000A3194"/>
    <w:rsid w:val="000A45E7"/>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CE6"/>
    <w:rsid w:val="000B6D8E"/>
    <w:rsid w:val="000B771F"/>
    <w:rsid w:val="000C02FF"/>
    <w:rsid w:val="000C092C"/>
    <w:rsid w:val="000C09B5"/>
    <w:rsid w:val="000C0E98"/>
    <w:rsid w:val="000C2049"/>
    <w:rsid w:val="000C24BD"/>
    <w:rsid w:val="000C32BC"/>
    <w:rsid w:val="000C4C1B"/>
    <w:rsid w:val="000C520A"/>
    <w:rsid w:val="000C6A94"/>
    <w:rsid w:val="000C7B76"/>
    <w:rsid w:val="000D0998"/>
    <w:rsid w:val="000D09B5"/>
    <w:rsid w:val="000D10D2"/>
    <w:rsid w:val="000D16E5"/>
    <w:rsid w:val="000D2347"/>
    <w:rsid w:val="000D2C1B"/>
    <w:rsid w:val="000D2E85"/>
    <w:rsid w:val="000D3C13"/>
    <w:rsid w:val="000D474E"/>
    <w:rsid w:val="000D481D"/>
    <w:rsid w:val="000D5062"/>
    <w:rsid w:val="000D55C7"/>
    <w:rsid w:val="000D5E8D"/>
    <w:rsid w:val="000D6E8F"/>
    <w:rsid w:val="000D70FF"/>
    <w:rsid w:val="000E09B0"/>
    <w:rsid w:val="000E27FB"/>
    <w:rsid w:val="000E296B"/>
    <w:rsid w:val="000E3748"/>
    <w:rsid w:val="000E43DD"/>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4B33"/>
    <w:rsid w:val="000F5304"/>
    <w:rsid w:val="000F7B26"/>
    <w:rsid w:val="000F7F74"/>
    <w:rsid w:val="001016F8"/>
    <w:rsid w:val="00102466"/>
    <w:rsid w:val="0010279D"/>
    <w:rsid w:val="00103C2E"/>
    <w:rsid w:val="00103CC1"/>
    <w:rsid w:val="0010526A"/>
    <w:rsid w:val="00105675"/>
    <w:rsid w:val="00106653"/>
    <w:rsid w:val="0010697A"/>
    <w:rsid w:val="00107372"/>
    <w:rsid w:val="00107A4A"/>
    <w:rsid w:val="00107BC2"/>
    <w:rsid w:val="00110D79"/>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302D"/>
    <w:rsid w:val="00133B5A"/>
    <w:rsid w:val="001344B4"/>
    <w:rsid w:val="0013496D"/>
    <w:rsid w:val="00134B8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2FFF"/>
    <w:rsid w:val="00145141"/>
    <w:rsid w:val="00145CE4"/>
    <w:rsid w:val="00145D6B"/>
    <w:rsid w:val="001465D7"/>
    <w:rsid w:val="00146759"/>
    <w:rsid w:val="001471CE"/>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1A41"/>
    <w:rsid w:val="00171CB0"/>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41D8"/>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34FA"/>
    <w:rsid w:val="00203AC4"/>
    <w:rsid w:val="00204B2F"/>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4FE"/>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58ED"/>
    <w:rsid w:val="00245B89"/>
    <w:rsid w:val="00245BAF"/>
    <w:rsid w:val="00245C10"/>
    <w:rsid w:val="00246106"/>
    <w:rsid w:val="00246998"/>
    <w:rsid w:val="00247604"/>
    <w:rsid w:val="002500F5"/>
    <w:rsid w:val="00250A23"/>
    <w:rsid w:val="00252A6B"/>
    <w:rsid w:val="00252FDF"/>
    <w:rsid w:val="00254138"/>
    <w:rsid w:val="002544F4"/>
    <w:rsid w:val="00254858"/>
    <w:rsid w:val="00254A55"/>
    <w:rsid w:val="00255698"/>
    <w:rsid w:val="00255CF7"/>
    <w:rsid w:val="00257A6D"/>
    <w:rsid w:val="00257B66"/>
    <w:rsid w:val="002600BE"/>
    <w:rsid w:val="00261F2D"/>
    <w:rsid w:val="0026291C"/>
    <w:rsid w:val="00263356"/>
    <w:rsid w:val="00263848"/>
    <w:rsid w:val="00263FD7"/>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730"/>
    <w:rsid w:val="0028198D"/>
    <w:rsid w:val="00281DE1"/>
    <w:rsid w:val="00282274"/>
    <w:rsid w:val="00283597"/>
    <w:rsid w:val="00286381"/>
    <w:rsid w:val="0028699B"/>
    <w:rsid w:val="00287A1B"/>
    <w:rsid w:val="00287BCB"/>
    <w:rsid w:val="00290160"/>
    <w:rsid w:val="0029074D"/>
    <w:rsid w:val="002923CC"/>
    <w:rsid w:val="00292625"/>
    <w:rsid w:val="002928AF"/>
    <w:rsid w:val="002948D0"/>
    <w:rsid w:val="00295B3D"/>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8C0"/>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54EB"/>
    <w:rsid w:val="002D594D"/>
    <w:rsid w:val="002D5E40"/>
    <w:rsid w:val="002D6786"/>
    <w:rsid w:val="002D738C"/>
    <w:rsid w:val="002E0345"/>
    <w:rsid w:val="002E05B5"/>
    <w:rsid w:val="002E129C"/>
    <w:rsid w:val="002E1808"/>
    <w:rsid w:val="002E20DE"/>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266B"/>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3D75"/>
    <w:rsid w:val="00356647"/>
    <w:rsid w:val="003566F7"/>
    <w:rsid w:val="00356819"/>
    <w:rsid w:val="003572D1"/>
    <w:rsid w:val="00357305"/>
    <w:rsid w:val="00357EBE"/>
    <w:rsid w:val="00357F92"/>
    <w:rsid w:val="00360548"/>
    <w:rsid w:val="00360E76"/>
    <w:rsid w:val="00361142"/>
    <w:rsid w:val="003616AD"/>
    <w:rsid w:val="00362ABD"/>
    <w:rsid w:val="0036354D"/>
    <w:rsid w:val="003638B8"/>
    <w:rsid w:val="00364601"/>
    <w:rsid w:val="00364E5F"/>
    <w:rsid w:val="003658CF"/>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2E2"/>
    <w:rsid w:val="003905A4"/>
    <w:rsid w:val="003905B5"/>
    <w:rsid w:val="003908A8"/>
    <w:rsid w:val="00390D3E"/>
    <w:rsid w:val="00394E7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223E"/>
    <w:rsid w:val="003B2CFA"/>
    <w:rsid w:val="003B2ECF"/>
    <w:rsid w:val="003B43B6"/>
    <w:rsid w:val="003B53AB"/>
    <w:rsid w:val="003B661A"/>
    <w:rsid w:val="003B6CDB"/>
    <w:rsid w:val="003B6FCE"/>
    <w:rsid w:val="003B7037"/>
    <w:rsid w:val="003C0934"/>
    <w:rsid w:val="003C0B66"/>
    <w:rsid w:val="003C0D6E"/>
    <w:rsid w:val="003C10E9"/>
    <w:rsid w:val="003C15E1"/>
    <w:rsid w:val="003C1DA8"/>
    <w:rsid w:val="003C2879"/>
    <w:rsid w:val="003C3CD1"/>
    <w:rsid w:val="003C4B87"/>
    <w:rsid w:val="003C6850"/>
    <w:rsid w:val="003C71A6"/>
    <w:rsid w:val="003C71BB"/>
    <w:rsid w:val="003C7668"/>
    <w:rsid w:val="003D1CD9"/>
    <w:rsid w:val="003D27A3"/>
    <w:rsid w:val="003D3111"/>
    <w:rsid w:val="003D3E9C"/>
    <w:rsid w:val="003D3F49"/>
    <w:rsid w:val="003D40D8"/>
    <w:rsid w:val="003D5958"/>
    <w:rsid w:val="003D5964"/>
    <w:rsid w:val="003D6789"/>
    <w:rsid w:val="003D737C"/>
    <w:rsid w:val="003D7A3A"/>
    <w:rsid w:val="003D7B76"/>
    <w:rsid w:val="003D7C4F"/>
    <w:rsid w:val="003D7FB9"/>
    <w:rsid w:val="003E1784"/>
    <w:rsid w:val="003E2A60"/>
    <w:rsid w:val="003E322F"/>
    <w:rsid w:val="003E3A4B"/>
    <w:rsid w:val="003E3D14"/>
    <w:rsid w:val="003F0592"/>
    <w:rsid w:val="003F0EFC"/>
    <w:rsid w:val="003F13D0"/>
    <w:rsid w:val="003F1DBD"/>
    <w:rsid w:val="003F440E"/>
    <w:rsid w:val="003F4CF9"/>
    <w:rsid w:val="003F5C5C"/>
    <w:rsid w:val="003F60C0"/>
    <w:rsid w:val="003F67A7"/>
    <w:rsid w:val="003F7AE3"/>
    <w:rsid w:val="004006AF"/>
    <w:rsid w:val="00400A07"/>
    <w:rsid w:val="004017E5"/>
    <w:rsid w:val="00401F92"/>
    <w:rsid w:val="00402635"/>
    <w:rsid w:val="00402705"/>
    <w:rsid w:val="004028A7"/>
    <w:rsid w:val="004042DB"/>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DAE"/>
    <w:rsid w:val="0044598B"/>
    <w:rsid w:val="004461B6"/>
    <w:rsid w:val="0044655B"/>
    <w:rsid w:val="00446715"/>
    <w:rsid w:val="0044697D"/>
    <w:rsid w:val="00447B60"/>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4D6"/>
    <w:rsid w:val="00470C53"/>
    <w:rsid w:val="00471092"/>
    <w:rsid w:val="00471E6A"/>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87CBE"/>
    <w:rsid w:val="004907B9"/>
    <w:rsid w:val="00490D8F"/>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500"/>
    <w:rsid w:val="004970A4"/>
    <w:rsid w:val="00497981"/>
    <w:rsid w:val="00497B78"/>
    <w:rsid w:val="004A0574"/>
    <w:rsid w:val="004A1A84"/>
    <w:rsid w:val="004A1B3E"/>
    <w:rsid w:val="004A1F0E"/>
    <w:rsid w:val="004A2EAD"/>
    <w:rsid w:val="004A31C5"/>
    <w:rsid w:val="004A362F"/>
    <w:rsid w:val="004A531B"/>
    <w:rsid w:val="004A59C0"/>
    <w:rsid w:val="004A59CB"/>
    <w:rsid w:val="004A5DC7"/>
    <w:rsid w:val="004A714E"/>
    <w:rsid w:val="004A727B"/>
    <w:rsid w:val="004A7791"/>
    <w:rsid w:val="004A7BFD"/>
    <w:rsid w:val="004B0377"/>
    <w:rsid w:val="004B4231"/>
    <w:rsid w:val="004B463E"/>
    <w:rsid w:val="004B4E85"/>
    <w:rsid w:val="004B595A"/>
    <w:rsid w:val="004B6769"/>
    <w:rsid w:val="004B6B75"/>
    <w:rsid w:val="004B6D75"/>
    <w:rsid w:val="004B7009"/>
    <w:rsid w:val="004B7F24"/>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A1B"/>
    <w:rsid w:val="004F0707"/>
    <w:rsid w:val="004F0AC2"/>
    <w:rsid w:val="004F0AE9"/>
    <w:rsid w:val="004F19E7"/>
    <w:rsid w:val="004F22D1"/>
    <w:rsid w:val="004F4323"/>
    <w:rsid w:val="004F47AF"/>
    <w:rsid w:val="004F4DA1"/>
    <w:rsid w:val="004F4DD0"/>
    <w:rsid w:val="004F6A74"/>
    <w:rsid w:val="004F7958"/>
    <w:rsid w:val="005000BA"/>
    <w:rsid w:val="00501147"/>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3E51"/>
    <w:rsid w:val="00514813"/>
    <w:rsid w:val="00514817"/>
    <w:rsid w:val="00514A52"/>
    <w:rsid w:val="005153E1"/>
    <w:rsid w:val="005155AC"/>
    <w:rsid w:val="00515648"/>
    <w:rsid w:val="005158B5"/>
    <w:rsid w:val="00515A4E"/>
    <w:rsid w:val="00515A8E"/>
    <w:rsid w:val="00516696"/>
    <w:rsid w:val="00516D8F"/>
    <w:rsid w:val="0052219E"/>
    <w:rsid w:val="00522555"/>
    <w:rsid w:val="00523250"/>
    <w:rsid w:val="0052349C"/>
    <w:rsid w:val="005234FE"/>
    <w:rsid w:val="00523686"/>
    <w:rsid w:val="0052383C"/>
    <w:rsid w:val="005244E4"/>
    <w:rsid w:val="00524883"/>
    <w:rsid w:val="00524894"/>
    <w:rsid w:val="00525238"/>
    <w:rsid w:val="0052740C"/>
    <w:rsid w:val="005315C3"/>
    <w:rsid w:val="005316F6"/>
    <w:rsid w:val="00531BB4"/>
    <w:rsid w:val="00532FD2"/>
    <w:rsid w:val="00533EFB"/>
    <w:rsid w:val="00534D65"/>
    <w:rsid w:val="00535831"/>
    <w:rsid w:val="00535C03"/>
    <w:rsid w:val="00535D38"/>
    <w:rsid w:val="00536175"/>
    <w:rsid w:val="0053650C"/>
    <w:rsid w:val="00536FFF"/>
    <w:rsid w:val="00540198"/>
    <w:rsid w:val="005406C0"/>
    <w:rsid w:val="0054148C"/>
    <w:rsid w:val="00541A78"/>
    <w:rsid w:val="00541DA5"/>
    <w:rsid w:val="00543FCF"/>
    <w:rsid w:val="0054409B"/>
    <w:rsid w:val="00544464"/>
    <w:rsid w:val="005449F2"/>
    <w:rsid w:val="00545B40"/>
    <w:rsid w:val="00545FEA"/>
    <w:rsid w:val="005474F0"/>
    <w:rsid w:val="005477C9"/>
    <w:rsid w:val="00550CDC"/>
    <w:rsid w:val="00551262"/>
    <w:rsid w:val="0055136A"/>
    <w:rsid w:val="0055142D"/>
    <w:rsid w:val="00552775"/>
    <w:rsid w:val="00552900"/>
    <w:rsid w:val="005529AF"/>
    <w:rsid w:val="005531F7"/>
    <w:rsid w:val="005551C9"/>
    <w:rsid w:val="0055616D"/>
    <w:rsid w:val="00556D8B"/>
    <w:rsid w:val="0056103A"/>
    <w:rsid w:val="00561FB6"/>
    <w:rsid w:val="005620E4"/>
    <w:rsid w:val="005633DD"/>
    <w:rsid w:val="00563B2D"/>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0C28"/>
    <w:rsid w:val="005E1C01"/>
    <w:rsid w:val="005E24CC"/>
    <w:rsid w:val="005E2846"/>
    <w:rsid w:val="005E2EB9"/>
    <w:rsid w:val="005E364D"/>
    <w:rsid w:val="005E3E52"/>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2881"/>
    <w:rsid w:val="006545EB"/>
    <w:rsid w:val="00654AB8"/>
    <w:rsid w:val="00654C01"/>
    <w:rsid w:val="00654FC1"/>
    <w:rsid w:val="00655658"/>
    <w:rsid w:val="00656204"/>
    <w:rsid w:val="00656418"/>
    <w:rsid w:val="0065669F"/>
    <w:rsid w:val="00656C81"/>
    <w:rsid w:val="00660322"/>
    <w:rsid w:val="00660531"/>
    <w:rsid w:val="0066087B"/>
    <w:rsid w:val="00662B12"/>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766B7"/>
    <w:rsid w:val="00680483"/>
    <w:rsid w:val="006806FC"/>
    <w:rsid w:val="00681EB4"/>
    <w:rsid w:val="00681EBB"/>
    <w:rsid w:val="00682064"/>
    <w:rsid w:val="006829A9"/>
    <w:rsid w:val="00682B8B"/>
    <w:rsid w:val="00683100"/>
    <w:rsid w:val="00684C70"/>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59CB"/>
    <w:rsid w:val="00696479"/>
    <w:rsid w:val="00696552"/>
    <w:rsid w:val="00696A0B"/>
    <w:rsid w:val="0069712A"/>
    <w:rsid w:val="006975EA"/>
    <w:rsid w:val="0069794C"/>
    <w:rsid w:val="00697AD1"/>
    <w:rsid w:val="00697CD3"/>
    <w:rsid w:val="006A0E22"/>
    <w:rsid w:val="006A365A"/>
    <w:rsid w:val="006A428C"/>
    <w:rsid w:val="006A47D3"/>
    <w:rsid w:val="006A493D"/>
    <w:rsid w:val="006A4A27"/>
    <w:rsid w:val="006A4BC7"/>
    <w:rsid w:val="006A5272"/>
    <w:rsid w:val="006A588E"/>
    <w:rsid w:val="006A621E"/>
    <w:rsid w:val="006A7112"/>
    <w:rsid w:val="006A7800"/>
    <w:rsid w:val="006B0700"/>
    <w:rsid w:val="006B0CA7"/>
    <w:rsid w:val="006B1964"/>
    <w:rsid w:val="006B1B33"/>
    <w:rsid w:val="006B30DF"/>
    <w:rsid w:val="006B4012"/>
    <w:rsid w:val="006B4AB5"/>
    <w:rsid w:val="006B5A3F"/>
    <w:rsid w:val="006B5B2B"/>
    <w:rsid w:val="006B68F1"/>
    <w:rsid w:val="006B7069"/>
    <w:rsid w:val="006B7D15"/>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10505"/>
    <w:rsid w:val="007112E5"/>
    <w:rsid w:val="007117D5"/>
    <w:rsid w:val="00711871"/>
    <w:rsid w:val="00712622"/>
    <w:rsid w:val="007127B2"/>
    <w:rsid w:val="00712F5E"/>
    <w:rsid w:val="00713006"/>
    <w:rsid w:val="0071642B"/>
    <w:rsid w:val="007165B5"/>
    <w:rsid w:val="0071718A"/>
    <w:rsid w:val="007171A1"/>
    <w:rsid w:val="007175C2"/>
    <w:rsid w:val="00717A39"/>
    <w:rsid w:val="00720E8E"/>
    <w:rsid w:val="00721614"/>
    <w:rsid w:val="00721E37"/>
    <w:rsid w:val="007221E2"/>
    <w:rsid w:val="00723416"/>
    <w:rsid w:val="00723AAA"/>
    <w:rsid w:val="00723B51"/>
    <w:rsid w:val="007259C2"/>
    <w:rsid w:val="00725B07"/>
    <w:rsid w:val="00726DEC"/>
    <w:rsid w:val="00726FA9"/>
    <w:rsid w:val="007304FF"/>
    <w:rsid w:val="007322AB"/>
    <w:rsid w:val="007329D2"/>
    <w:rsid w:val="007329DC"/>
    <w:rsid w:val="00732C73"/>
    <w:rsid w:val="007336A0"/>
    <w:rsid w:val="00734F75"/>
    <w:rsid w:val="007353A3"/>
    <w:rsid w:val="00736B55"/>
    <w:rsid w:val="00737B89"/>
    <w:rsid w:val="00740B78"/>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1D31"/>
    <w:rsid w:val="00752B4B"/>
    <w:rsid w:val="00752C78"/>
    <w:rsid w:val="00752C86"/>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4ADB"/>
    <w:rsid w:val="00785D70"/>
    <w:rsid w:val="007861CA"/>
    <w:rsid w:val="00786A4A"/>
    <w:rsid w:val="00792739"/>
    <w:rsid w:val="00793698"/>
    <w:rsid w:val="0079491E"/>
    <w:rsid w:val="00794C46"/>
    <w:rsid w:val="00794DCB"/>
    <w:rsid w:val="007954C4"/>
    <w:rsid w:val="0079562C"/>
    <w:rsid w:val="007957A1"/>
    <w:rsid w:val="0079603C"/>
    <w:rsid w:val="00796779"/>
    <w:rsid w:val="00796F03"/>
    <w:rsid w:val="00797AA9"/>
    <w:rsid w:val="00797AE8"/>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A85"/>
    <w:rsid w:val="007B4ED2"/>
    <w:rsid w:val="007B5549"/>
    <w:rsid w:val="007B7152"/>
    <w:rsid w:val="007B7BA8"/>
    <w:rsid w:val="007C03E2"/>
    <w:rsid w:val="007C0F27"/>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304"/>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640C"/>
    <w:rsid w:val="0085793F"/>
    <w:rsid w:val="00857A3A"/>
    <w:rsid w:val="00860556"/>
    <w:rsid w:val="00860F52"/>
    <w:rsid w:val="00861FB5"/>
    <w:rsid w:val="008626E7"/>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11F7"/>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68A"/>
    <w:rsid w:val="008D348D"/>
    <w:rsid w:val="008D4A06"/>
    <w:rsid w:val="008D5356"/>
    <w:rsid w:val="008D5A93"/>
    <w:rsid w:val="008D5ACE"/>
    <w:rsid w:val="008D67C4"/>
    <w:rsid w:val="008D6B1C"/>
    <w:rsid w:val="008D6E76"/>
    <w:rsid w:val="008D7F5B"/>
    <w:rsid w:val="008E0DFC"/>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C5C"/>
    <w:rsid w:val="009125D5"/>
    <w:rsid w:val="00913C0F"/>
    <w:rsid w:val="00914434"/>
    <w:rsid w:val="009150B8"/>
    <w:rsid w:val="00915F01"/>
    <w:rsid w:val="009169C1"/>
    <w:rsid w:val="00916DB1"/>
    <w:rsid w:val="00916DF1"/>
    <w:rsid w:val="00917542"/>
    <w:rsid w:val="00917714"/>
    <w:rsid w:val="009177A5"/>
    <w:rsid w:val="00917D0E"/>
    <w:rsid w:val="0092080A"/>
    <w:rsid w:val="00921F5F"/>
    <w:rsid w:val="00922147"/>
    <w:rsid w:val="00922815"/>
    <w:rsid w:val="00922D08"/>
    <w:rsid w:val="00922D6E"/>
    <w:rsid w:val="00922DA3"/>
    <w:rsid w:val="00923008"/>
    <w:rsid w:val="00924053"/>
    <w:rsid w:val="00924B4F"/>
    <w:rsid w:val="00925188"/>
    <w:rsid w:val="00925975"/>
    <w:rsid w:val="009300EF"/>
    <w:rsid w:val="00930721"/>
    <w:rsid w:val="00930909"/>
    <w:rsid w:val="00930957"/>
    <w:rsid w:val="0093100E"/>
    <w:rsid w:val="00931BD1"/>
    <w:rsid w:val="00932A3B"/>
    <w:rsid w:val="00934212"/>
    <w:rsid w:val="00934615"/>
    <w:rsid w:val="00935228"/>
    <w:rsid w:val="009373D6"/>
    <w:rsid w:val="009400E2"/>
    <w:rsid w:val="00940CBE"/>
    <w:rsid w:val="00942E3A"/>
    <w:rsid w:val="00943150"/>
    <w:rsid w:val="009433BE"/>
    <w:rsid w:val="00943D03"/>
    <w:rsid w:val="00943D50"/>
    <w:rsid w:val="00943F40"/>
    <w:rsid w:val="009447E4"/>
    <w:rsid w:val="009448C5"/>
    <w:rsid w:val="00945F0F"/>
    <w:rsid w:val="00946AA5"/>
    <w:rsid w:val="00947644"/>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20F5"/>
    <w:rsid w:val="00962129"/>
    <w:rsid w:val="0096220C"/>
    <w:rsid w:val="009626FF"/>
    <w:rsid w:val="00962B1A"/>
    <w:rsid w:val="009641A1"/>
    <w:rsid w:val="009644C3"/>
    <w:rsid w:val="00966EBB"/>
    <w:rsid w:val="0096723B"/>
    <w:rsid w:val="009677B2"/>
    <w:rsid w:val="00967FBB"/>
    <w:rsid w:val="00970462"/>
    <w:rsid w:val="009704ED"/>
    <w:rsid w:val="00970B5A"/>
    <w:rsid w:val="00970E22"/>
    <w:rsid w:val="00970EB2"/>
    <w:rsid w:val="00971586"/>
    <w:rsid w:val="009719B5"/>
    <w:rsid w:val="00973036"/>
    <w:rsid w:val="009735C3"/>
    <w:rsid w:val="009737A6"/>
    <w:rsid w:val="009737F5"/>
    <w:rsid w:val="009743A3"/>
    <w:rsid w:val="00974737"/>
    <w:rsid w:val="009752FD"/>
    <w:rsid w:val="00975784"/>
    <w:rsid w:val="00975E8B"/>
    <w:rsid w:val="009778FD"/>
    <w:rsid w:val="00977FBB"/>
    <w:rsid w:val="00980168"/>
    <w:rsid w:val="00980230"/>
    <w:rsid w:val="0098027F"/>
    <w:rsid w:val="0098100C"/>
    <w:rsid w:val="00981BC3"/>
    <w:rsid w:val="00982836"/>
    <w:rsid w:val="00982E60"/>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5E19"/>
    <w:rsid w:val="00996668"/>
    <w:rsid w:val="00996BB8"/>
    <w:rsid w:val="00996E0D"/>
    <w:rsid w:val="009970C2"/>
    <w:rsid w:val="009972D3"/>
    <w:rsid w:val="009972FA"/>
    <w:rsid w:val="009975CE"/>
    <w:rsid w:val="00997A1E"/>
    <w:rsid w:val="009A142C"/>
    <w:rsid w:val="009A1436"/>
    <w:rsid w:val="009A1A27"/>
    <w:rsid w:val="009A1FE8"/>
    <w:rsid w:val="009A4E07"/>
    <w:rsid w:val="009A51AC"/>
    <w:rsid w:val="009A59CE"/>
    <w:rsid w:val="009A600B"/>
    <w:rsid w:val="009A6C1B"/>
    <w:rsid w:val="009A6ED5"/>
    <w:rsid w:val="009A7205"/>
    <w:rsid w:val="009B013E"/>
    <w:rsid w:val="009B0DBA"/>
    <w:rsid w:val="009B1753"/>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30F7"/>
    <w:rsid w:val="009C4129"/>
    <w:rsid w:val="009C4169"/>
    <w:rsid w:val="009C4251"/>
    <w:rsid w:val="009C48C5"/>
    <w:rsid w:val="009C4970"/>
    <w:rsid w:val="009C70FA"/>
    <w:rsid w:val="009C739A"/>
    <w:rsid w:val="009C7DDC"/>
    <w:rsid w:val="009D1319"/>
    <w:rsid w:val="009D2303"/>
    <w:rsid w:val="009D4494"/>
    <w:rsid w:val="009D5163"/>
    <w:rsid w:val="009D5D3B"/>
    <w:rsid w:val="009D5EDD"/>
    <w:rsid w:val="009D6D92"/>
    <w:rsid w:val="009D71D3"/>
    <w:rsid w:val="009E0487"/>
    <w:rsid w:val="009E130B"/>
    <w:rsid w:val="009E2541"/>
    <w:rsid w:val="009E2734"/>
    <w:rsid w:val="009E2A6E"/>
    <w:rsid w:val="009E6114"/>
    <w:rsid w:val="009E63A7"/>
    <w:rsid w:val="009E6864"/>
    <w:rsid w:val="009E7FCB"/>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3973"/>
    <w:rsid w:val="00A04A0C"/>
    <w:rsid w:val="00A058A7"/>
    <w:rsid w:val="00A06591"/>
    <w:rsid w:val="00A1009D"/>
    <w:rsid w:val="00A10E6B"/>
    <w:rsid w:val="00A11A31"/>
    <w:rsid w:val="00A125EA"/>
    <w:rsid w:val="00A1297B"/>
    <w:rsid w:val="00A13293"/>
    <w:rsid w:val="00A13530"/>
    <w:rsid w:val="00A13A7E"/>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7399"/>
    <w:rsid w:val="00A27808"/>
    <w:rsid w:val="00A309EF"/>
    <w:rsid w:val="00A31630"/>
    <w:rsid w:val="00A3185F"/>
    <w:rsid w:val="00A3199F"/>
    <w:rsid w:val="00A33571"/>
    <w:rsid w:val="00A344C1"/>
    <w:rsid w:val="00A35BC1"/>
    <w:rsid w:val="00A35C0F"/>
    <w:rsid w:val="00A36491"/>
    <w:rsid w:val="00A3683F"/>
    <w:rsid w:val="00A37334"/>
    <w:rsid w:val="00A3734B"/>
    <w:rsid w:val="00A37759"/>
    <w:rsid w:val="00A37BF6"/>
    <w:rsid w:val="00A410D0"/>
    <w:rsid w:val="00A4188D"/>
    <w:rsid w:val="00A423DA"/>
    <w:rsid w:val="00A42402"/>
    <w:rsid w:val="00A428BB"/>
    <w:rsid w:val="00A42B89"/>
    <w:rsid w:val="00A44B5C"/>
    <w:rsid w:val="00A46A53"/>
    <w:rsid w:val="00A47586"/>
    <w:rsid w:val="00A47A22"/>
    <w:rsid w:val="00A51700"/>
    <w:rsid w:val="00A519BB"/>
    <w:rsid w:val="00A51EE1"/>
    <w:rsid w:val="00A527D2"/>
    <w:rsid w:val="00A535F5"/>
    <w:rsid w:val="00A5453C"/>
    <w:rsid w:val="00A54AD0"/>
    <w:rsid w:val="00A552E7"/>
    <w:rsid w:val="00A55374"/>
    <w:rsid w:val="00A55ACC"/>
    <w:rsid w:val="00A57327"/>
    <w:rsid w:val="00A5799C"/>
    <w:rsid w:val="00A57E21"/>
    <w:rsid w:val="00A57EBA"/>
    <w:rsid w:val="00A607D5"/>
    <w:rsid w:val="00A60AE6"/>
    <w:rsid w:val="00A61049"/>
    <w:rsid w:val="00A6128B"/>
    <w:rsid w:val="00A61337"/>
    <w:rsid w:val="00A62619"/>
    <w:rsid w:val="00A62ADD"/>
    <w:rsid w:val="00A62BF2"/>
    <w:rsid w:val="00A63CD2"/>
    <w:rsid w:val="00A63FCF"/>
    <w:rsid w:val="00A64ABA"/>
    <w:rsid w:val="00A655CB"/>
    <w:rsid w:val="00A6681C"/>
    <w:rsid w:val="00A67E74"/>
    <w:rsid w:val="00A705AF"/>
    <w:rsid w:val="00A71237"/>
    <w:rsid w:val="00A7231B"/>
    <w:rsid w:val="00A72B93"/>
    <w:rsid w:val="00A73018"/>
    <w:rsid w:val="00A730BB"/>
    <w:rsid w:val="00A746D0"/>
    <w:rsid w:val="00A7478B"/>
    <w:rsid w:val="00A74C61"/>
    <w:rsid w:val="00A75AB9"/>
    <w:rsid w:val="00A76179"/>
    <w:rsid w:val="00A76DA4"/>
    <w:rsid w:val="00A779C7"/>
    <w:rsid w:val="00A77C38"/>
    <w:rsid w:val="00A8022C"/>
    <w:rsid w:val="00A8062C"/>
    <w:rsid w:val="00A80EA3"/>
    <w:rsid w:val="00A817D0"/>
    <w:rsid w:val="00A8316F"/>
    <w:rsid w:val="00A83B12"/>
    <w:rsid w:val="00A83CB3"/>
    <w:rsid w:val="00A8483D"/>
    <w:rsid w:val="00A84F34"/>
    <w:rsid w:val="00A8543D"/>
    <w:rsid w:val="00A863AA"/>
    <w:rsid w:val="00A87DB2"/>
    <w:rsid w:val="00A90E19"/>
    <w:rsid w:val="00A91746"/>
    <w:rsid w:val="00A917BC"/>
    <w:rsid w:val="00A91918"/>
    <w:rsid w:val="00A91BCE"/>
    <w:rsid w:val="00A92932"/>
    <w:rsid w:val="00A939C7"/>
    <w:rsid w:val="00A946AF"/>
    <w:rsid w:val="00A9496C"/>
    <w:rsid w:val="00A94C5A"/>
    <w:rsid w:val="00A954E9"/>
    <w:rsid w:val="00A954ED"/>
    <w:rsid w:val="00A95782"/>
    <w:rsid w:val="00A9592F"/>
    <w:rsid w:val="00A9686B"/>
    <w:rsid w:val="00A97558"/>
    <w:rsid w:val="00AA0201"/>
    <w:rsid w:val="00AA150F"/>
    <w:rsid w:val="00AA172A"/>
    <w:rsid w:val="00AA1CD7"/>
    <w:rsid w:val="00AA1F2B"/>
    <w:rsid w:val="00AA2BC8"/>
    <w:rsid w:val="00AA396C"/>
    <w:rsid w:val="00AA476A"/>
    <w:rsid w:val="00AA5E98"/>
    <w:rsid w:val="00AA61BB"/>
    <w:rsid w:val="00AA6DB5"/>
    <w:rsid w:val="00AA7877"/>
    <w:rsid w:val="00AA7E70"/>
    <w:rsid w:val="00AB0558"/>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987"/>
    <w:rsid w:val="00AC5C95"/>
    <w:rsid w:val="00AC6CA9"/>
    <w:rsid w:val="00AC6DE6"/>
    <w:rsid w:val="00AC714A"/>
    <w:rsid w:val="00AC7433"/>
    <w:rsid w:val="00AD01C6"/>
    <w:rsid w:val="00AD0DA5"/>
    <w:rsid w:val="00AD1AC8"/>
    <w:rsid w:val="00AD2982"/>
    <w:rsid w:val="00AD299F"/>
    <w:rsid w:val="00AD3FEA"/>
    <w:rsid w:val="00AD44B5"/>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930"/>
    <w:rsid w:val="00B21DF7"/>
    <w:rsid w:val="00B228D3"/>
    <w:rsid w:val="00B23782"/>
    <w:rsid w:val="00B241D5"/>
    <w:rsid w:val="00B249A7"/>
    <w:rsid w:val="00B25695"/>
    <w:rsid w:val="00B257B5"/>
    <w:rsid w:val="00B267BF"/>
    <w:rsid w:val="00B278C4"/>
    <w:rsid w:val="00B30171"/>
    <w:rsid w:val="00B308BC"/>
    <w:rsid w:val="00B30E9A"/>
    <w:rsid w:val="00B31321"/>
    <w:rsid w:val="00B3225F"/>
    <w:rsid w:val="00B33F41"/>
    <w:rsid w:val="00B340C5"/>
    <w:rsid w:val="00B3567D"/>
    <w:rsid w:val="00B35DA2"/>
    <w:rsid w:val="00B3625C"/>
    <w:rsid w:val="00B37260"/>
    <w:rsid w:val="00B40A06"/>
    <w:rsid w:val="00B414CC"/>
    <w:rsid w:val="00B415EA"/>
    <w:rsid w:val="00B41D68"/>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E37"/>
    <w:rsid w:val="00B53B3B"/>
    <w:rsid w:val="00B55B60"/>
    <w:rsid w:val="00B56D3A"/>
    <w:rsid w:val="00B60A11"/>
    <w:rsid w:val="00B613A9"/>
    <w:rsid w:val="00B61F7E"/>
    <w:rsid w:val="00B625B5"/>
    <w:rsid w:val="00B62B72"/>
    <w:rsid w:val="00B62CF7"/>
    <w:rsid w:val="00B637CB"/>
    <w:rsid w:val="00B637DD"/>
    <w:rsid w:val="00B64825"/>
    <w:rsid w:val="00B656AD"/>
    <w:rsid w:val="00B65F44"/>
    <w:rsid w:val="00B66182"/>
    <w:rsid w:val="00B6629C"/>
    <w:rsid w:val="00B66DF6"/>
    <w:rsid w:val="00B67FC9"/>
    <w:rsid w:val="00B706EC"/>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786"/>
    <w:rsid w:val="00B819B5"/>
    <w:rsid w:val="00B81D48"/>
    <w:rsid w:val="00B81DDF"/>
    <w:rsid w:val="00B82C14"/>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2E30"/>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07AA3"/>
    <w:rsid w:val="00C10067"/>
    <w:rsid w:val="00C129C6"/>
    <w:rsid w:val="00C1353A"/>
    <w:rsid w:val="00C13B5E"/>
    <w:rsid w:val="00C144F0"/>
    <w:rsid w:val="00C14FA2"/>
    <w:rsid w:val="00C1506E"/>
    <w:rsid w:val="00C162B9"/>
    <w:rsid w:val="00C1639A"/>
    <w:rsid w:val="00C1649F"/>
    <w:rsid w:val="00C17B7F"/>
    <w:rsid w:val="00C20101"/>
    <w:rsid w:val="00C20898"/>
    <w:rsid w:val="00C209CE"/>
    <w:rsid w:val="00C2100A"/>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294D"/>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2E2"/>
    <w:rsid w:val="00C477BD"/>
    <w:rsid w:val="00C47B71"/>
    <w:rsid w:val="00C509A1"/>
    <w:rsid w:val="00C50C7D"/>
    <w:rsid w:val="00C50CDB"/>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6FC1"/>
    <w:rsid w:val="00C579FA"/>
    <w:rsid w:val="00C57A85"/>
    <w:rsid w:val="00C57F48"/>
    <w:rsid w:val="00C6152A"/>
    <w:rsid w:val="00C617CE"/>
    <w:rsid w:val="00C61D0C"/>
    <w:rsid w:val="00C61EF1"/>
    <w:rsid w:val="00C6352F"/>
    <w:rsid w:val="00C63FED"/>
    <w:rsid w:val="00C66009"/>
    <w:rsid w:val="00C66422"/>
    <w:rsid w:val="00C66902"/>
    <w:rsid w:val="00C67149"/>
    <w:rsid w:val="00C671DC"/>
    <w:rsid w:val="00C6777E"/>
    <w:rsid w:val="00C67A0E"/>
    <w:rsid w:val="00C70633"/>
    <w:rsid w:val="00C70F62"/>
    <w:rsid w:val="00C7206A"/>
    <w:rsid w:val="00C72095"/>
    <w:rsid w:val="00C72284"/>
    <w:rsid w:val="00C7332F"/>
    <w:rsid w:val="00C74517"/>
    <w:rsid w:val="00C762D9"/>
    <w:rsid w:val="00C763C4"/>
    <w:rsid w:val="00C76454"/>
    <w:rsid w:val="00C80362"/>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1F4"/>
    <w:rsid w:val="00C912EC"/>
    <w:rsid w:val="00C91565"/>
    <w:rsid w:val="00C91F70"/>
    <w:rsid w:val="00C9247F"/>
    <w:rsid w:val="00C92C0A"/>
    <w:rsid w:val="00C92E47"/>
    <w:rsid w:val="00C9369B"/>
    <w:rsid w:val="00C9383D"/>
    <w:rsid w:val="00C949EF"/>
    <w:rsid w:val="00C94B15"/>
    <w:rsid w:val="00C95672"/>
    <w:rsid w:val="00C95A95"/>
    <w:rsid w:val="00C96D18"/>
    <w:rsid w:val="00CA104D"/>
    <w:rsid w:val="00CA23FC"/>
    <w:rsid w:val="00CA243A"/>
    <w:rsid w:val="00CA3D19"/>
    <w:rsid w:val="00CA502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733"/>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399A"/>
    <w:rsid w:val="00D0548E"/>
    <w:rsid w:val="00D056D0"/>
    <w:rsid w:val="00D05749"/>
    <w:rsid w:val="00D05F40"/>
    <w:rsid w:val="00D05F56"/>
    <w:rsid w:val="00D07A07"/>
    <w:rsid w:val="00D07F17"/>
    <w:rsid w:val="00D11583"/>
    <w:rsid w:val="00D11A2D"/>
    <w:rsid w:val="00D11ADF"/>
    <w:rsid w:val="00D12042"/>
    <w:rsid w:val="00D14C22"/>
    <w:rsid w:val="00D15E7C"/>
    <w:rsid w:val="00D16EC3"/>
    <w:rsid w:val="00D2036A"/>
    <w:rsid w:val="00D20572"/>
    <w:rsid w:val="00D214D4"/>
    <w:rsid w:val="00D2274A"/>
    <w:rsid w:val="00D22DFC"/>
    <w:rsid w:val="00D23B63"/>
    <w:rsid w:val="00D23D70"/>
    <w:rsid w:val="00D23F2B"/>
    <w:rsid w:val="00D23FB5"/>
    <w:rsid w:val="00D258FE"/>
    <w:rsid w:val="00D2643F"/>
    <w:rsid w:val="00D264C8"/>
    <w:rsid w:val="00D26B71"/>
    <w:rsid w:val="00D26BB1"/>
    <w:rsid w:val="00D2799A"/>
    <w:rsid w:val="00D27AF7"/>
    <w:rsid w:val="00D27B18"/>
    <w:rsid w:val="00D303D9"/>
    <w:rsid w:val="00D31176"/>
    <w:rsid w:val="00D33365"/>
    <w:rsid w:val="00D3377E"/>
    <w:rsid w:val="00D33B0E"/>
    <w:rsid w:val="00D33EDE"/>
    <w:rsid w:val="00D34A4A"/>
    <w:rsid w:val="00D358A0"/>
    <w:rsid w:val="00D35BB8"/>
    <w:rsid w:val="00D35F21"/>
    <w:rsid w:val="00D36A1A"/>
    <w:rsid w:val="00D36E83"/>
    <w:rsid w:val="00D4055E"/>
    <w:rsid w:val="00D405DE"/>
    <w:rsid w:val="00D42F5D"/>
    <w:rsid w:val="00D430A4"/>
    <w:rsid w:val="00D43CC1"/>
    <w:rsid w:val="00D4430F"/>
    <w:rsid w:val="00D443DE"/>
    <w:rsid w:val="00D44825"/>
    <w:rsid w:val="00D45231"/>
    <w:rsid w:val="00D453D6"/>
    <w:rsid w:val="00D45B92"/>
    <w:rsid w:val="00D45E95"/>
    <w:rsid w:val="00D45F56"/>
    <w:rsid w:val="00D466E4"/>
    <w:rsid w:val="00D50146"/>
    <w:rsid w:val="00D514FE"/>
    <w:rsid w:val="00D534DA"/>
    <w:rsid w:val="00D53E1B"/>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499"/>
    <w:rsid w:val="00D63920"/>
    <w:rsid w:val="00D63BB6"/>
    <w:rsid w:val="00D6408E"/>
    <w:rsid w:val="00D646B7"/>
    <w:rsid w:val="00D646C0"/>
    <w:rsid w:val="00D652F9"/>
    <w:rsid w:val="00D658C5"/>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40EA"/>
    <w:rsid w:val="00D9470B"/>
    <w:rsid w:val="00D96DB9"/>
    <w:rsid w:val="00DA01A2"/>
    <w:rsid w:val="00DA0686"/>
    <w:rsid w:val="00DA1B17"/>
    <w:rsid w:val="00DA271F"/>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341A"/>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822"/>
    <w:rsid w:val="00DD7FA5"/>
    <w:rsid w:val="00DE0F15"/>
    <w:rsid w:val="00DE11FA"/>
    <w:rsid w:val="00DE1345"/>
    <w:rsid w:val="00DE1858"/>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0FCF"/>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3767"/>
    <w:rsid w:val="00E73E85"/>
    <w:rsid w:val="00E74A7C"/>
    <w:rsid w:val="00E76095"/>
    <w:rsid w:val="00E8019B"/>
    <w:rsid w:val="00E80F7D"/>
    <w:rsid w:val="00E81B09"/>
    <w:rsid w:val="00E82473"/>
    <w:rsid w:val="00E82511"/>
    <w:rsid w:val="00E828EE"/>
    <w:rsid w:val="00E829EB"/>
    <w:rsid w:val="00E84ECF"/>
    <w:rsid w:val="00E85053"/>
    <w:rsid w:val="00E87508"/>
    <w:rsid w:val="00E875AC"/>
    <w:rsid w:val="00E9036C"/>
    <w:rsid w:val="00E912C1"/>
    <w:rsid w:val="00E91BE5"/>
    <w:rsid w:val="00E921C4"/>
    <w:rsid w:val="00E92A09"/>
    <w:rsid w:val="00E939D3"/>
    <w:rsid w:val="00E93AC7"/>
    <w:rsid w:val="00E94284"/>
    <w:rsid w:val="00E9449A"/>
    <w:rsid w:val="00E94717"/>
    <w:rsid w:val="00E95B82"/>
    <w:rsid w:val="00E960C6"/>
    <w:rsid w:val="00E96D3A"/>
    <w:rsid w:val="00E9716F"/>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84D"/>
    <w:rsid w:val="00EB1341"/>
    <w:rsid w:val="00EB1BC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18F"/>
    <w:rsid w:val="00EC14E7"/>
    <w:rsid w:val="00EC5176"/>
    <w:rsid w:val="00EC566E"/>
    <w:rsid w:val="00EC57EA"/>
    <w:rsid w:val="00EC57F3"/>
    <w:rsid w:val="00EC6F8B"/>
    <w:rsid w:val="00ED0EB0"/>
    <w:rsid w:val="00ED309F"/>
    <w:rsid w:val="00ED34E2"/>
    <w:rsid w:val="00ED38E0"/>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7E2D"/>
    <w:rsid w:val="00EF0167"/>
    <w:rsid w:val="00EF094D"/>
    <w:rsid w:val="00EF09EA"/>
    <w:rsid w:val="00EF0BC3"/>
    <w:rsid w:val="00EF2017"/>
    <w:rsid w:val="00EF2826"/>
    <w:rsid w:val="00EF4BD3"/>
    <w:rsid w:val="00EF5074"/>
    <w:rsid w:val="00EF53E2"/>
    <w:rsid w:val="00EF5DCE"/>
    <w:rsid w:val="00F0033C"/>
    <w:rsid w:val="00F00C40"/>
    <w:rsid w:val="00F010EB"/>
    <w:rsid w:val="00F01E2B"/>
    <w:rsid w:val="00F0244D"/>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9E6"/>
    <w:rsid w:val="00F23CC0"/>
    <w:rsid w:val="00F247CD"/>
    <w:rsid w:val="00F25188"/>
    <w:rsid w:val="00F25434"/>
    <w:rsid w:val="00F2563A"/>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4E9C"/>
    <w:rsid w:val="00F358A3"/>
    <w:rsid w:val="00F362AD"/>
    <w:rsid w:val="00F3634B"/>
    <w:rsid w:val="00F37F47"/>
    <w:rsid w:val="00F4073C"/>
    <w:rsid w:val="00F41F06"/>
    <w:rsid w:val="00F44127"/>
    <w:rsid w:val="00F44F02"/>
    <w:rsid w:val="00F44F24"/>
    <w:rsid w:val="00F47BA9"/>
    <w:rsid w:val="00F506DF"/>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33EC"/>
    <w:rsid w:val="00F640BD"/>
    <w:rsid w:val="00F645EE"/>
    <w:rsid w:val="00F64CB7"/>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90920"/>
    <w:rsid w:val="00F910FB"/>
    <w:rsid w:val="00F91C85"/>
    <w:rsid w:val="00F91F0B"/>
    <w:rsid w:val="00F931FF"/>
    <w:rsid w:val="00F93A64"/>
    <w:rsid w:val="00F93B98"/>
    <w:rsid w:val="00F94496"/>
    <w:rsid w:val="00F954B5"/>
    <w:rsid w:val="00FA04B0"/>
    <w:rsid w:val="00FA0E83"/>
    <w:rsid w:val="00FA1BB4"/>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7FC"/>
    <w:rsid w:val="00FB3D53"/>
    <w:rsid w:val="00FB4162"/>
    <w:rsid w:val="00FB43BF"/>
    <w:rsid w:val="00FB53ED"/>
    <w:rsid w:val="00FB611A"/>
    <w:rsid w:val="00FB7657"/>
    <w:rsid w:val="00FB7923"/>
    <w:rsid w:val="00FC082A"/>
    <w:rsid w:val="00FC0B3C"/>
    <w:rsid w:val="00FC10C4"/>
    <w:rsid w:val="00FC124C"/>
    <w:rsid w:val="00FC134F"/>
    <w:rsid w:val="00FC39E6"/>
    <w:rsid w:val="00FC4169"/>
    <w:rsid w:val="00FC47BC"/>
    <w:rsid w:val="00FC49E3"/>
    <w:rsid w:val="00FC4C5C"/>
    <w:rsid w:val="00FC51DE"/>
    <w:rsid w:val="00FC6120"/>
    <w:rsid w:val="00FC65AC"/>
    <w:rsid w:val="00FC701C"/>
    <w:rsid w:val="00FC799F"/>
    <w:rsid w:val="00FD0175"/>
    <w:rsid w:val="00FD07C1"/>
    <w:rsid w:val="00FD0D73"/>
    <w:rsid w:val="00FD2B49"/>
    <w:rsid w:val="00FD2D4A"/>
    <w:rsid w:val="00FD356A"/>
    <w:rsid w:val="00FD419F"/>
    <w:rsid w:val="00FD4222"/>
    <w:rsid w:val="00FD44B7"/>
    <w:rsid w:val="00FD471F"/>
    <w:rsid w:val="00FD4F92"/>
    <w:rsid w:val="00FD5377"/>
    <w:rsid w:val="00FD6C1B"/>
    <w:rsid w:val="00FD6D75"/>
    <w:rsid w:val="00FD71F3"/>
    <w:rsid w:val="00FD7F24"/>
    <w:rsid w:val="00FE00AC"/>
    <w:rsid w:val="00FE03C1"/>
    <w:rsid w:val="00FE0E16"/>
    <w:rsid w:val="00FE0E82"/>
    <w:rsid w:val="00FE2238"/>
    <w:rsid w:val="00FE23C2"/>
    <w:rsid w:val="00FE2457"/>
    <w:rsid w:val="00FE3423"/>
    <w:rsid w:val="00FE4754"/>
    <w:rsid w:val="00FE4A25"/>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2946073">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218702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4808540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30794962">
      <w:bodyDiv w:val="1"/>
      <w:marLeft w:val="0"/>
      <w:marRight w:val="0"/>
      <w:marTop w:val="0"/>
      <w:marBottom w:val="0"/>
      <w:divBdr>
        <w:top w:val="none" w:sz="0" w:space="0" w:color="auto"/>
        <w:left w:val="none" w:sz="0" w:space="0" w:color="auto"/>
        <w:bottom w:val="none" w:sz="0" w:space="0" w:color="auto"/>
        <w:right w:val="none" w:sz="0" w:space="0" w:color="auto"/>
      </w:divBdr>
      <w:divsChild>
        <w:div w:id="594637111">
          <w:marLeft w:val="360"/>
          <w:marRight w:val="0"/>
          <w:marTop w:val="200"/>
          <w:marBottom w:val="0"/>
          <w:divBdr>
            <w:top w:val="none" w:sz="0" w:space="0" w:color="auto"/>
            <w:left w:val="none" w:sz="0" w:space="0" w:color="auto"/>
            <w:bottom w:val="none" w:sz="0" w:space="0" w:color="auto"/>
            <w:right w:val="none" w:sz="0" w:space="0" w:color="auto"/>
          </w:divBdr>
        </w:div>
        <w:div w:id="1113599707">
          <w:marLeft w:val="360"/>
          <w:marRight w:val="0"/>
          <w:marTop w:val="200"/>
          <w:marBottom w:val="0"/>
          <w:divBdr>
            <w:top w:val="none" w:sz="0" w:space="0" w:color="auto"/>
            <w:left w:val="none" w:sz="0" w:space="0" w:color="auto"/>
            <w:bottom w:val="none" w:sz="0" w:space="0" w:color="auto"/>
            <w:right w:val="none" w:sz="0" w:space="0" w:color="auto"/>
          </w:divBdr>
        </w:div>
      </w:divsChild>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1525093794">
          <w:marLeft w:val="547"/>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65498737">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3.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4.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5.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Template>
  <TotalTime>1302</TotalTime>
  <Pages>2</Pages>
  <Words>923</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152</cp:revision>
  <cp:lastPrinted>2001-04-24T01:30:00Z</cp:lastPrinted>
  <dcterms:created xsi:type="dcterms:W3CDTF">2021-06-28T10:27:00Z</dcterms:created>
  <dcterms:modified xsi:type="dcterms:W3CDTF">2021-08-06T17:17:00Z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